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9858" w14:textId="425BD43E" w:rsidR="003D779E" w:rsidRPr="00F03C5C" w:rsidRDefault="00A45AFE" w:rsidP="00F03C5C">
      <w:pPr>
        <w:spacing w:line="400" w:lineRule="exact"/>
        <w:jc w:val="center"/>
        <w:rPr>
          <w:rFonts w:ascii="Times New Roman" w:hAnsi="Times New Roman" w:cs="Times New Roman"/>
          <w:b/>
          <w:bCs/>
          <w:sz w:val="32"/>
          <w:szCs w:val="32"/>
        </w:rPr>
      </w:pPr>
      <w:r w:rsidRPr="00F03C5C">
        <w:rPr>
          <w:rFonts w:ascii="Times New Roman" w:hAnsi="Times New Roman" w:cs="Times New Roman"/>
          <w:b/>
          <w:bCs/>
          <w:sz w:val="32"/>
          <w:szCs w:val="32"/>
        </w:rPr>
        <w:t xml:space="preserve">National Taiwan University of Science and Technology </w:t>
      </w:r>
      <w:r w:rsidR="003D779E" w:rsidRPr="00F03C5C">
        <w:rPr>
          <w:rFonts w:ascii="Times New Roman" w:hAnsi="Times New Roman" w:cs="Times New Roman"/>
          <w:b/>
          <w:bCs/>
          <w:sz w:val="32"/>
          <w:szCs w:val="32"/>
        </w:rPr>
        <w:t xml:space="preserve">Guidelines for Enhancing </w:t>
      </w:r>
      <w:r w:rsidRPr="00F03C5C">
        <w:rPr>
          <w:rFonts w:ascii="Times New Roman" w:hAnsi="Times New Roman" w:cs="Times New Roman"/>
          <w:b/>
          <w:bCs/>
          <w:sz w:val="32"/>
          <w:szCs w:val="32"/>
        </w:rPr>
        <w:t xml:space="preserve">the </w:t>
      </w:r>
      <w:r w:rsidR="003D779E" w:rsidRPr="00F03C5C">
        <w:rPr>
          <w:rFonts w:ascii="Times New Roman" w:hAnsi="Times New Roman" w:cs="Times New Roman"/>
          <w:b/>
          <w:bCs/>
          <w:sz w:val="32"/>
          <w:szCs w:val="32"/>
        </w:rPr>
        <w:t xml:space="preserve">Teaching Quality </w:t>
      </w:r>
      <w:r w:rsidRPr="00F03C5C">
        <w:rPr>
          <w:rFonts w:ascii="Times New Roman" w:hAnsi="Times New Roman" w:cs="Times New Roman"/>
          <w:b/>
          <w:bCs/>
          <w:sz w:val="32"/>
          <w:szCs w:val="32"/>
        </w:rPr>
        <w:t>of</w:t>
      </w:r>
      <w:r w:rsidR="003D779E" w:rsidRPr="00F03C5C">
        <w:rPr>
          <w:rFonts w:ascii="Times New Roman" w:hAnsi="Times New Roman" w:cs="Times New Roman"/>
          <w:b/>
          <w:bCs/>
          <w:sz w:val="32"/>
          <w:szCs w:val="32"/>
        </w:rPr>
        <w:t xml:space="preserve"> Newly Appointed Faculty</w:t>
      </w:r>
    </w:p>
    <w:p w14:paraId="4389F084" w14:textId="71825F3A" w:rsidR="003D779E" w:rsidRPr="00F03C5C" w:rsidRDefault="003D779E" w:rsidP="00F03C5C">
      <w:pPr>
        <w:spacing w:beforeLines="100" w:before="360" w:after="240"/>
        <w:jc w:val="right"/>
        <w:rPr>
          <w:rFonts w:ascii="Times New Roman" w:eastAsia="DFKai-SB" w:hAnsi="Times New Roman" w:cs="Times New Roman"/>
          <w:color w:val="000000" w:themeColor="text1"/>
          <w:sz w:val="21"/>
          <w:szCs w:val="21"/>
        </w:rPr>
      </w:pPr>
      <w:r w:rsidRPr="00F03C5C">
        <w:rPr>
          <w:rFonts w:ascii="Times New Roman" w:eastAsia="DFKai-SB" w:hAnsi="Times New Roman" w:cs="Times New Roman"/>
          <w:color w:val="000000" w:themeColor="text1"/>
          <w:sz w:val="21"/>
          <w:szCs w:val="21"/>
        </w:rPr>
        <w:t>Approved at the 629th Administrative Meeting on April 9, 2024</w:t>
      </w:r>
    </w:p>
    <w:p w14:paraId="41076023" w14:textId="01442F7B" w:rsidR="003D779E" w:rsidRPr="003D779E" w:rsidRDefault="003D779E" w:rsidP="00F03C5C">
      <w:pPr>
        <w:spacing w:after="60" w:line="360" w:lineRule="exact"/>
        <w:ind w:left="1104" w:hangingChars="460" w:hanging="1104"/>
        <w:jc w:val="both"/>
        <w:rPr>
          <w:rFonts w:ascii="Times New Roman" w:eastAsia="DFKai-SB" w:hAnsi="Times New Roman" w:cs="Times New Roman"/>
          <w:color w:val="000000" w:themeColor="text1"/>
        </w:rPr>
      </w:pPr>
      <w:bookmarkStart w:id="0" w:name="_Hlk157781385"/>
      <w:r w:rsidRPr="003D779E">
        <w:rPr>
          <w:rFonts w:ascii="Times New Roman" w:eastAsia="DFKai-SB" w:hAnsi="Times New Roman" w:cs="Times New Roman"/>
          <w:color w:val="000000" w:themeColor="text1"/>
        </w:rPr>
        <w:t>Article 1</w:t>
      </w:r>
      <w:r w:rsidR="00781199">
        <w:rPr>
          <w:rFonts w:ascii="Times New Roman" w:eastAsia="DFKai-SB" w:hAnsi="Times New Roman" w:cs="Times New Roman" w:hint="eastAsia"/>
          <w:color w:val="000000" w:themeColor="text1"/>
        </w:rPr>
        <w:t xml:space="preserve"> </w:t>
      </w:r>
      <w:r w:rsidR="00F03C5C">
        <w:rPr>
          <w:rFonts w:ascii="Times New Roman" w:eastAsia="DFKai-SB" w:hAnsi="Times New Roman" w:cs="Times New Roman"/>
          <w:color w:val="000000" w:themeColor="text1"/>
        </w:rPr>
        <w:tab/>
      </w:r>
      <w:r w:rsidRPr="003D779E">
        <w:rPr>
          <w:rFonts w:ascii="Times New Roman" w:eastAsia="DFKai-SB" w:hAnsi="Times New Roman" w:cs="Times New Roman"/>
          <w:color w:val="000000" w:themeColor="text1"/>
        </w:rPr>
        <w:t xml:space="preserve">To assist newly appointed faculty in enhancing their teaching </w:t>
      </w:r>
      <w:r w:rsidR="00A45AFE">
        <w:rPr>
          <w:rFonts w:ascii="Times New Roman" w:eastAsia="DFKai-SB" w:hAnsi="Times New Roman" w:cs="Times New Roman"/>
          <w:color w:val="000000" w:themeColor="text1"/>
        </w:rPr>
        <w:t>competency</w:t>
      </w:r>
      <w:r w:rsidR="00A45AFE" w:rsidRPr="003D779E">
        <w:rPr>
          <w:rFonts w:ascii="Times New Roman" w:eastAsia="DFKai-SB" w:hAnsi="Times New Roman" w:cs="Times New Roman"/>
          <w:color w:val="000000" w:themeColor="text1"/>
        </w:rPr>
        <w:t xml:space="preserve"> </w:t>
      </w:r>
      <w:r w:rsidRPr="003D779E">
        <w:rPr>
          <w:rFonts w:ascii="Times New Roman" w:eastAsia="DFKai-SB" w:hAnsi="Times New Roman" w:cs="Times New Roman"/>
          <w:color w:val="000000" w:themeColor="text1"/>
        </w:rPr>
        <w:t>and methods and thereby improv</w:t>
      </w:r>
      <w:r w:rsidR="00A45AFE">
        <w:rPr>
          <w:rFonts w:ascii="Times New Roman" w:eastAsia="DFKai-SB" w:hAnsi="Times New Roman" w:cs="Times New Roman"/>
          <w:color w:val="000000" w:themeColor="text1"/>
        </w:rPr>
        <w:t>e</w:t>
      </w:r>
      <w:r w:rsidRPr="003D779E">
        <w:rPr>
          <w:rFonts w:ascii="Times New Roman" w:eastAsia="DFKai-SB" w:hAnsi="Times New Roman" w:cs="Times New Roman"/>
          <w:color w:val="000000" w:themeColor="text1"/>
        </w:rPr>
        <w:t xml:space="preserve"> the </w:t>
      </w:r>
      <w:r w:rsidR="00A45AFE">
        <w:rPr>
          <w:rFonts w:ascii="Times New Roman" w:eastAsia="DFKai-SB" w:hAnsi="Times New Roman" w:cs="Times New Roman"/>
          <w:color w:val="000000" w:themeColor="text1"/>
        </w:rPr>
        <w:t>overall</w:t>
      </w:r>
      <w:r w:rsidRPr="003D779E">
        <w:rPr>
          <w:rFonts w:ascii="Times New Roman" w:eastAsia="DFKai-SB" w:hAnsi="Times New Roman" w:cs="Times New Roman"/>
          <w:color w:val="000000" w:themeColor="text1"/>
        </w:rPr>
        <w:t xml:space="preserve"> teaching</w:t>
      </w:r>
      <w:r w:rsidR="00A45AFE">
        <w:rPr>
          <w:rFonts w:ascii="Times New Roman" w:eastAsia="DFKai-SB" w:hAnsi="Times New Roman" w:cs="Times New Roman"/>
          <w:color w:val="000000" w:themeColor="text1"/>
        </w:rPr>
        <w:t xml:space="preserve"> quality</w:t>
      </w:r>
      <w:r w:rsidRPr="003D779E">
        <w:rPr>
          <w:rFonts w:ascii="Times New Roman" w:eastAsia="DFKai-SB" w:hAnsi="Times New Roman" w:cs="Times New Roman"/>
          <w:color w:val="000000" w:themeColor="text1"/>
        </w:rPr>
        <w:t xml:space="preserve">, </w:t>
      </w:r>
      <w:r w:rsidR="00451284">
        <w:rPr>
          <w:rFonts w:ascii="Times New Roman" w:eastAsia="DFKai-SB" w:hAnsi="Times New Roman" w:cs="Times New Roman"/>
          <w:color w:val="000000" w:themeColor="text1"/>
        </w:rPr>
        <w:t xml:space="preserve">the </w:t>
      </w:r>
      <w:r w:rsidRPr="003D779E">
        <w:rPr>
          <w:rFonts w:ascii="Times New Roman" w:eastAsia="DFKai-SB" w:hAnsi="Times New Roman" w:cs="Times New Roman"/>
          <w:color w:val="000000" w:themeColor="text1"/>
        </w:rPr>
        <w:t xml:space="preserve">National Taiwan University of Science and Technology (hereinafter referred to as </w:t>
      </w:r>
      <w:r w:rsidR="00A45AFE">
        <w:rPr>
          <w:rFonts w:ascii="Times New Roman" w:eastAsia="DFKai-SB" w:hAnsi="Times New Roman" w:cs="Times New Roman"/>
          <w:color w:val="000000" w:themeColor="text1"/>
        </w:rPr>
        <w:t>“</w:t>
      </w:r>
      <w:r w:rsidRPr="003D779E">
        <w:rPr>
          <w:rFonts w:ascii="Times New Roman" w:eastAsia="DFKai-SB" w:hAnsi="Times New Roman" w:cs="Times New Roman"/>
          <w:color w:val="000000" w:themeColor="text1"/>
        </w:rPr>
        <w:t>the University</w:t>
      </w:r>
      <w:r w:rsidR="00A45AFE">
        <w:rPr>
          <w:rFonts w:ascii="Times New Roman" w:eastAsia="DFKai-SB" w:hAnsi="Times New Roman" w:cs="Times New Roman"/>
          <w:color w:val="000000" w:themeColor="text1"/>
        </w:rPr>
        <w:t>”</w:t>
      </w:r>
      <w:r w:rsidRPr="003D779E">
        <w:rPr>
          <w:rFonts w:ascii="Times New Roman" w:eastAsia="DFKai-SB" w:hAnsi="Times New Roman" w:cs="Times New Roman"/>
          <w:color w:val="000000" w:themeColor="text1"/>
        </w:rPr>
        <w:t>) has established these guidelines.</w:t>
      </w:r>
    </w:p>
    <w:p w14:paraId="6B22CEB9" w14:textId="507DE07E" w:rsidR="003D779E" w:rsidRDefault="003D779E" w:rsidP="00F03C5C">
      <w:pPr>
        <w:spacing w:after="60" w:line="360" w:lineRule="exact"/>
        <w:ind w:left="1104" w:hangingChars="460" w:hanging="1104"/>
        <w:jc w:val="both"/>
        <w:rPr>
          <w:rFonts w:ascii="Times New Roman" w:eastAsia="DFKai-SB" w:hAnsi="Times New Roman" w:cs="Times New Roman"/>
          <w:color w:val="000000" w:themeColor="text1"/>
        </w:rPr>
      </w:pPr>
      <w:r w:rsidRPr="003D779E">
        <w:rPr>
          <w:rFonts w:ascii="Times New Roman" w:eastAsia="DFKai-SB" w:hAnsi="Times New Roman" w:cs="Times New Roman"/>
          <w:color w:val="000000" w:themeColor="text1"/>
        </w:rPr>
        <w:t>Article 2</w:t>
      </w:r>
      <w:r w:rsidR="00781199">
        <w:rPr>
          <w:rFonts w:ascii="Times New Roman" w:eastAsia="DFKai-SB" w:hAnsi="Times New Roman" w:cs="Times New Roman" w:hint="eastAsia"/>
          <w:color w:val="000000" w:themeColor="text1"/>
        </w:rPr>
        <w:t xml:space="preserve"> </w:t>
      </w:r>
      <w:r w:rsidRPr="003D779E">
        <w:rPr>
          <w:rFonts w:ascii="Times New Roman" w:eastAsia="DFKai-SB" w:hAnsi="Times New Roman" w:cs="Times New Roman"/>
          <w:color w:val="000000" w:themeColor="text1"/>
        </w:rPr>
        <w:t xml:space="preserve">These guidelines primarily apply to newly appointed full-time faculty members and contract-based full-time teaching staff (project faculty) who have been employed at the University for less than </w:t>
      </w:r>
      <w:r w:rsidR="00781199">
        <w:rPr>
          <w:rFonts w:ascii="Times New Roman" w:eastAsia="DFKai-SB" w:hAnsi="Times New Roman" w:cs="Times New Roman" w:hint="eastAsia"/>
          <w:color w:val="000000" w:themeColor="text1"/>
        </w:rPr>
        <w:t>5</w:t>
      </w:r>
      <w:r w:rsidRPr="003D779E">
        <w:rPr>
          <w:rFonts w:ascii="Times New Roman" w:eastAsia="DFKai-SB" w:hAnsi="Times New Roman" w:cs="Times New Roman"/>
          <w:color w:val="000000" w:themeColor="text1"/>
        </w:rPr>
        <w:t xml:space="preserve"> years.</w:t>
      </w:r>
    </w:p>
    <w:p w14:paraId="24038582" w14:textId="61EBB7A2" w:rsidR="003D779E" w:rsidRDefault="003D779E" w:rsidP="00F03C5C">
      <w:pPr>
        <w:spacing w:after="60" w:line="360" w:lineRule="exact"/>
        <w:ind w:left="1104" w:hangingChars="460" w:hanging="1104"/>
        <w:jc w:val="both"/>
        <w:rPr>
          <w:rFonts w:ascii="Times New Roman" w:eastAsia="DFKai-SB" w:hAnsi="Times New Roman" w:cs="Times New Roman"/>
          <w:color w:val="000000" w:themeColor="text1"/>
        </w:rPr>
      </w:pPr>
      <w:r w:rsidRPr="003D779E">
        <w:rPr>
          <w:rFonts w:ascii="Times New Roman" w:eastAsia="DFKai-SB" w:hAnsi="Times New Roman" w:cs="Times New Roman"/>
          <w:color w:val="000000" w:themeColor="text1"/>
        </w:rPr>
        <w:t>Article 3</w:t>
      </w:r>
      <w:r w:rsidR="00781199">
        <w:rPr>
          <w:rFonts w:ascii="Times New Roman" w:eastAsia="DFKai-SB" w:hAnsi="Times New Roman" w:cs="Times New Roman" w:hint="eastAsia"/>
          <w:color w:val="000000" w:themeColor="text1"/>
        </w:rPr>
        <w:t xml:space="preserve"> </w:t>
      </w:r>
      <w:r w:rsidR="00F03C5C">
        <w:rPr>
          <w:rFonts w:ascii="Times New Roman" w:eastAsia="DFKai-SB" w:hAnsi="Times New Roman" w:cs="Times New Roman"/>
          <w:color w:val="000000" w:themeColor="text1"/>
        </w:rPr>
        <w:tab/>
      </w:r>
      <w:r w:rsidRPr="003D779E">
        <w:rPr>
          <w:rFonts w:ascii="Times New Roman" w:eastAsia="DFKai-SB" w:hAnsi="Times New Roman" w:cs="Times New Roman"/>
          <w:color w:val="000000" w:themeColor="text1"/>
        </w:rPr>
        <w:t>Faculty members who do not fall under the scope of Article 2 but require teaching enhancement may apply for assistance in accordance with these guidelines.</w:t>
      </w:r>
    </w:p>
    <w:p w14:paraId="32B3B0A7" w14:textId="7BDDC9BA" w:rsidR="003D779E" w:rsidRDefault="003D779E" w:rsidP="00F03C5C">
      <w:pPr>
        <w:spacing w:after="60" w:line="360" w:lineRule="exact"/>
        <w:ind w:left="1104" w:hangingChars="460" w:hanging="1104"/>
        <w:jc w:val="both"/>
        <w:rPr>
          <w:rFonts w:ascii="Times New Roman" w:eastAsia="DFKai-SB" w:hAnsi="Times New Roman" w:cs="Times New Roman"/>
          <w:color w:val="000000" w:themeColor="text1"/>
        </w:rPr>
      </w:pPr>
      <w:r w:rsidRPr="003D779E">
        <w:rPr>
          <w:rFonts w:ascii="Times New Roman" w:eastAsia="DFKai-SB" w:hAnsi="Times New Roman" w:cs="Times New Roman"/>
          <w:color w:val="000000" w:themeColor="text1"/>
        </w:rPr>
        <w:t>Article 4</w:t>
      </w:r>
      <w:r w:rsidR="00781199">
        <w:rPr>
          <w:rFonts w:ascii="Times New Roman" w:eastAsia="DFKai-SB" w:hAnsi="Times New Roman" w:cs="Times New Roman" w:hint="eastAsia"/>
          <w:color w:val="000000" w:themeColor="text1"/>
        </w:rPr>
        <w:t xml:space="preserve"> </w:t>
      </w:r>
      <w:r w:rsidR="00F03C5C">
        <w:rPr>
          <w:rFonts w:ascii="Times New Roman" w:eastAsia="DFKai-SB" w:hAnsi="Times New Roman" w:cs="Times New Roman"/>
          <w:color w:val="000000" w:themeColor="text1"/>
        </w:rPr>
        <w:tab/>
      </w:r>
      <w:r w:rsidRPr="003D779E">
        <w:rPr>
          <w:rFonts w:ascii="Times New Roman" w:eastAsia="DFKai-SB" w:hAnsi="Times New Roman" w:cs="Times New Roman"/>
          <w:color w:val="000000" w:themeColor="text1"/>
        </w:rPr>
        <w:t xml:space="preserve">Each hiring unit (department, institute, </w:t>
      </w:r>
      <w:r w:rsidR="00781199">
        <w:rPr>
          <w:rFonts w:ascii="Times New Roman" w:eastAsia="DFKai-SB" w:hAnsi="Times New Roman" w:cs="Times New Roman" w:hint="eastAsia"/>
          <w:color w:val="000000" w:themeColor="text1"/>
        </w:rPr>
        <w:t>division</w:t>
      </w:r>
      <w:r w:rsidRPr="003D779E">
        <w:rPr>
          <w:rFonts w:ascii="Times New Roman" w:eastAsia="DFKai-SB" w:hAnsi="Times New Roman" w:cs="Times New Roman"/>
          <w:color w:val="000000" w:themeColor="text1"/>
        </w:rPr>
        <w:t xml:space="preserve">, </w:t>
      </w:r>
      <w:r w:rsidR="00781199">
        <w:rPr>
          <w:rFonts w:ascii="Times New Roman" w:eastAsia="DFKai-SB" w:hAnsi="Times New Roman" w:cs="Times New Roman" w:hint="eastAsia"/>
          <w:color w:val="000000" w:themeColor="text1"/>
        </w:rPr>
        <w:t xml:space="preserve">degree program, </w:t>
      </w:r>
      <w:r w:rsidRPr="003D779E">
        <w:rPr>
          <w:rFonts w:ascii="Times New Roman" w:eastAsia="DFKai-SB" w:hAnsi="Times New Roman" w:cs="Times New Roman"/>
          <w:color w:val="000000" w:themeColor="text1"/>
        </w:rPr>
        <w:t xml:space="preserve">center, </w:t>
      </w:r>
      <w:r w:rsidR="00781199">
        <w:rPr>
          <w:rFonts w:ascii="Times New Roman" w:eastAsia="DFKai-SB" w:hAnsi="Times New Roman" w:cs="Times New Roman" w:hint="eastAsia"/>
          <w:color w:val="000000" w:themeColor="text1"/>
        </w:rPr>
        <w:t>room</w:t>
      </w:r>
      <w:r w:rsidRPr="003D779E">
        <w:rPr>
          <w:rFonts w:ascii="Times New Roman" w:eastAsia="DFKai-SB" w:hAnsi="Times New Roman" w:cs="Times New Roman"/>
          <w:color w:val="000000" w:themeColor="text1"/>
        </w:rPr>
        <w:t xml:space="preserve">, or college) should convene a Faculty Evaluation Committee (hereinafter referred to as </w:t>
      </w:r>
      <w:r w:rsidR="00A45AFE">
        <w:rPr>
          <w:rFonts w:ascii="Times New Roman" w:eastAsia="DFKai-SB" w:hAnsi="Times New Roman" w:cs="Times New Roman"/>
          <w:color w:val="000000" w:themeColor="text1"/>
        </w:rPr>
        <w:t>“</w:t>
      </w:r>
      <w:r w:rsidRPr="003D779E">
        <w:rPr>
          <w:rFonts w:ascii="Times New Roman" w:eastAsia="DFKai-SB" w:hAnsi="Times New Roman" w:cs="Times New Roman"/>
          <w:color w:val="000000" w:themeColor="text1"/>
        </w:rPr>
        <w:t>the Committee</w:t>
      </w:r>
      <w:r w:rsidR="00A45AFE">
        <w:rPr>
          <w:rFonts w:ascii="Times New Roman" w:eastAsia="DFKai-SB" w:hAnsi="Times New Roman" w:cs="Times New Roman"/>
          <w:color w:val="000000" w:themeColor="text1"/>
        </w:rPr>
        <w:t>”</w:t>
      </w:r>
      <w:r w:rsidRPr="003D779E">
        <w:rPr>
          <w:rFonts w:ascii="Times New Roman" w:eastAsia="DFKai-SB" w:hAnsi="Times New Roman" w:cs="Times New Roman"/>
          <w:color w:val="000000" w:themeColor="text1"/>
        </w:rPr>
        <w:t xml:space="preserve">) before the end of </w:t>
      </w:r>
      <w:r w:rsidR="00781199" w:rsidRPr="003D779E">
        <w:rPr>
          <w:rFonts w:ascii="Times New Roman" w:eastAsia="DFKai-SB" w:hAnsi="Times New Roman" w:cs="Times New Roman"/>
          <w:color w:val="000000" w:themeColor="text1"/>
        </w:rPr>
        <w:t xml:space="preserve">February and </w:t>
      </w:r>
      <w:r w:rsidRPr="003D779E">
        <w:rPr>
          <w:rFonts w:ascii="Times New Roman" w:eastAsia="DFKai-SB" w:hAnsi="Times New Roman" w:cs="Times New Roman"/>
          <w:color w:val="000000" w:themeColor="text1"/>
        </w:rPr>
        <w:t xml:space="preserve">August each year. The Committee will review the list of newly appointed faculty members who </w:t>
      </w:r>
      <w:r w:rsidR="00451284">
        <w:rPr>
          <w:rFonts w:ascii="Times New Roman" w:eastAsia="DFKai-SB" w:hAnsi="Times New Roman" w:cs="Times New Roman"/>
          <w:color w:val="000000" w:themeColor="text1"/>
        </w:rPr>
        <w:t>must</w:t>
      </w:r>
      <w:r w:rsidRPr="003D779E">
        <w:rPr>
          <w:rFonts w:ascii="Times New Roman" w:eastAsia="DFKai-SB" w:hAnsi="Times New Roman" w:cs="Times New Roman"/>
          <w:color w:val="000000" w:themeColor="text1"/>
        </w:rPr>
        <w:t xml:space="preserve"> participate in the teaching enhancement program and submit the application to the </w:t>
      </w:r>
      <w:r w:rsidR="00A45AFE" w:rsidRPr="00A45AFE">
        <w:rPr>
          <w:rFonts w:ascii="Times New Roman" w:eastAsia="DFKai-SB" w:hAnsi="Times New Roman" w:cs="Times New Roman"/>
          <w:color w:val="000000" w:themeColor="text1"/>
        </w:rPr>
        <w:t>Center of Teaching and Learning Development</w:t>
      </w:r>
      <w:r w:rsidRPr="003D779E">
        <w:rPr>
          <w:rFonts w:ascii="Times New Roman" w:eastAsia="DFKai-SB" w:hAnsi="Times New Roman" w:cs="Times New Roman"/>
          <w:color w:val="000000" w:themeColor="text1"/>
        </w:rPr>
        <w:t xml:space="preserve"> </w:t>
      </w:r>
      <w:r w:rsidR="00781199" w:rsidRPr="003D779E">
        <w:rPr>
          <w:rFonts w:ascii="Times New Roman" w:eastAsia="DFKai-SB" w:hAnsi="Times New Roman" w:cs="Times New Roman"/>
          <w:color w:val="000000" w:themeColor="text1"/>
        </w:rPr>
        <w:t xml:space="preserve">under the Office of Academic Affairs </w:t>
      </w:r>
      <w:r w:rsidRPr="003D779E">
        <w:rPr>
          <w:rFonts w:ascii="Times New Roman" w:eastAsia="DFKai-SB" w:hAnsi="Times New Roman" w:cs="Times New Roman"/>
          <w:color w:val="000000" w:themeColor="text1"/>
        </w:rPr>
        <w:t xml:space="preserve">(hereinafter referred to as </w:t>
      </w:r>
      <w:r w:rsidR="00A45AFE">
        <w:rPr>
          <w:rFonts w:ascii="Times New Roman" w:eastAsia="DFKai-SB" w:hAnsi="Times New Roman" w:cs="Times New Roman"/>
          <w:color w:val="000000" w:themeColor="text1"/>
        </w:rPr>
        <w:t>“</w:t>
      </w:r>
      <w:r w:rsidRPr="003D779E">
        <w:rPr>
          <w:rFonts w:ascii="Times New Roman" w:eastAsia="DFKai-SB" w:hAnsi="Times New Roman" w:cs="Times New Roman"/>
          <w:color w:val="000000" w:themeColor="text1"/>
        </w:rPr>
        <w:t>the Center</w:t>
      </w:r>
      <w:r w:rsidR="00A45AFE">
        <w:rPr>
          <w:rFonts w:ascii="Times New Roman" w:eastAsia="DFKai-SB" w:hAnsi="Times New Roman" w:cs="Times New Roman"/>
          <w:color w:val="000000" w:themeColor="text1"/>
        </w:rPr>
        <w:t>”</w:t>
      </w:r>
      <w:r w:rsidRPr="003D779E">
        <w:rPr>
          <w:rFonts w:ascii="Times New Roman" w:eastAsia="DFKai-SB" w:hAnsi="Times New Roman" w:cs="Times New Roman"/>
          <w:color w:val="000000" w:themeColor="text1"/>
        </w:rPr>
        <w:t>)</w:t>
      </w:r>
      <w:r w:rsidR="00781199" w:rsidRPr="003D779E">
        <w:rPr>
          <w:rFonts w:ascii="Times New Roman" w:eastAsia="DFKai-SB" w:hAnsi="Times New Roman" w:cs="Times New Roman"/>
          <w:color w:val="000000" w:themeColor="text1"/>
        </w:rPr>
        <w:t>.</w:t>
      </w:r>
    </w:p>
    <w:p w14:paraId="40B9D675" w14:textId="4C4A1227" w:rsidR="003D779E" w:rsidRDefault="003D779E" w:rsidP="00F03C5C">
      <w:pPr>
        <w:spacing w:after="60" w:line="360" w:lineRule="exact"/>
        <w:ind w:left="1104" w:hangingChars="460" w:hanging="1104"/>
        <w:jc w:val="both"/>
        <w:rPr>
          <w:rFonts w:ascii="Times New Roman" w:eastAsia="DFKai-SB" w:hAnsi="Times New Roman" w:cs="Times New Roman"/>
          <w:color w:val="000000" w:themeColor="text1"/>
        </w:rPr>
      </w:pPr>
      <w:r w:rsidRPr="003D779E">
        <w:rPr>
          <w:rFonts w:ascii="Times New Roman" w:eastAsia="DFKai-SB" w:hAnsi="Times New Roman" w:cs="Times New Roman"/>
          <w:color w:val="000000" w:themeColor="text1"/>
        </w:rPr>
        <w:t>Article 5</w:t>
      </w:r>
      <w:r w:rsidR="00781199">
        <w:rPr>
          <w:rFonts w:ascii="Times New Roman" w:eastAsia="DFKai-SB" w:hAnsi="Times New Roman" w:cs="Times New Roman" w:hint="eastAsia"/>
          <w:color w:val="000000" w:themeColor="text1"/>
        </w:rPr>
        <w:t xml:space="preserve"> </w:t>
      </w:r>
      <w:r w:rsidR="00F03C5C">
        <w:rPr>
          <w:rFonts w:ascii="Times New Roman" w:eastAsia="DFKai-SB" w:hAnsi="Times New Roman" w:cs="Times New Roman"/>
          <w:color w:val="000000" w:themeColor="text1"/>
        </w:rPr>
        <w:tab/>
      </w:r>
      <w:r w:rsidRPr="003D779E">
        <w:rPr>
          <w:rFonts w:ascii="Times New Roman" w:eastAsia="DFKai-SB" w:hAnsi="Times New Roman" w:cs="Times New Roman"/>
          <w:color w:val="000000" w:themeColor="text1"/>
        </w:rPr>
        <w:t xml:space="preserve">Teaching enhancement mentors (hereinafter referred to as </w:t>
      </w:r>
      <w:r w:rsidR="00A45AFE">
        <w:rPr>
          <w:rFonts w:ascii="Times New Roman" w:eastAsia="DFKai-SB" w:hAnsi="Times New Roman" w:cs="Times New Roman"/>
          <w:color w:val="000000" w:themeColor="text1"/>
        </w:rPr>
        <w:t>“</w:t>
      </w:r>
      <w:r w:rsidRPr="003D779E">
        <w:rPr>
          <w:rFonts w:ascii="Times New Roman" w:eastAsia="DFKai-SB" w:hAnsi="Times New Roman" w:cs="Times New Roman"/>
          <w:color w:val="000000" w:themeColor="text1"/>
        </w:rPr>
        <w:t>mentors</w:t>
      </w:r>
      <w:r w:rsidR="00A45AFE">
        <w:rPr>
          <w:rFonts w:ascii="Times New Roman" w:eastAsia="DFKai-SB" w:hAnsi="Times New Roman" w:cs="Times New Roman"/>
          <w:color w:val="000000" w:themeColor="text1"/>
        </w:rPr>
        <w:t>”</w:t>
      </w:r>
      <w:r w:rsidRPr="003D779E">
        <w:rPr>
          <w:rFonts w:ascii="Times New Roman" w:eastAsia="DFKai-SB" w:hAnsi="Times New Roman" w:cs="Times New Roman"/>
          <w:color w:val="000000" w:themeColor="text1"/>
        </w:rPr>
        <w:t xml:space="preserve">) may be recommended by each teaching unit from the most recent list of recipients of the University’s Teaching Excellence Awards. In principle, each mentor should assist no more than three newly appointed faculty members. The rewards for mentors will be processed according to the relevant regulations stipulated in the </w:t>
      </w:r>
      <w:r w:rsidR="00A45AFE">
        <w:rPr>
          <w:rFonts w:ascii="Times New Roman" w:eastAsia="DFKai-SB" w:hAnsi="Times New Roman" w:cs="Times New Roman"/>
          <w:color w:val="000000" w:themeColor="text1"/>
        </w:rPr>
        <w:t>“</w:t>
      </w:r>
      <w:r w:rsidR="009B1AAA" w:rsidRPr="009B1AAA">
        <w:rPr>
          <w:rFonts w:ascii="Times New Roman" w:eastAsia="DFKai-SB" w:hAnsi="Times New Roman" w:cs="Times New Roman"/>
          <w:color w:val="000000" w:themeColor="text1"/>
        </w:rPr>
        <w:t xml:space="preserve">National Taiwan University </w:t>
      </w:r>
      <w:r w:rsidR="009B1AAA">
        <w:rPr>
          <w:rFonts w:ascii="Times New Roman" w:eastAsia="DFKai-SB" w:hAnsi="Times New Roman" w:cs="Times New Roman"/>
          <w:color w:val="000000" w:themeColor="text1"/>
        </w:rPr>
        <w:t>o</w:t>
      </w:r>
      <w:r w:rsidR="009B1AAA" w:rsidRPr="009B1AAA">
        <w:rPr>
          <w:rFonts w:ascii="Times New Roman" w:eastAsia="DFKai-SB" w:hAnsi="Times New Roman" w:cs="Times New Roman"/>
          <w:color w:val="000000" w:themeColor="text1"/>
        </w:rPr>
        <w:t xml:space="preserve">f Science </w:t>
      </w:r>
      <w:r w:rsidR="009B1AAA">
        <w:rPr>
          <w:rFonts w:ascii="Times New Roman" w:eastAsia="DFKai-SB" w:hAnsi="Times New Roman" w:cs="Times New Roman"/>
          <w:color w:val="000000" w:themeColor="text1"/>
        </w:rPr>
        <w:t>a</w:t>
      </w:r>
      <w:r w:rsidR="009B1AAA" w:rsidRPr="009B1AAA">
        <w:rPr>
          <w:rFonts w:ascii="Times New Roman" w:eastAsia="DFKai-SB" w:hAnsi="Times New Roman" w:cs="Times New Roman"/>
          <w:color w:val="000000" w:themeColor="text1"/>
        </w:rPr>
        <w:t>nd Technology New Faculty Teaching Enhancement Program</w:t>
      </w:r>
      <w:r w:rsidR="00A45AFE">
        <w:rPr>
          <w:rFonts w:ascii="Times New Roman" w:eastAsia="DFKai-SB" w:hAnsi="Times New Roman" w:cs="Times New Roman"/>
          <w:color w:val="000000" w:themeColor="text1"/>
        </w:rPr>
        <w:t>”</w:t>
      </w:r>
      <w:r w:rsidR="00781199">
        <w:rPr>
          <w:rFonts w:ascii="Times New Roman" w:eastAsia="DFKai-SB" w:hAnsi="Times New Roman" w:cs="Times New Roman" w:hint="eastAsia"/>
          <w:color w:val="000000" w:themeColor="text1"/>
        </w:rPr>
        <w:t>.</w:t>
      </w:r>
    </w:p>
    <w:bookmarkEnd w:id="0"/>
    <w:p w14:paraId="25951285" w14:textId="7E760F48" w:rsidR="003D779E" w:rsidRPr="003D779E" w:rsidRDefault="003D779E" w:rsidP="00F03C5C">
      <w:pPr>
        <w:spacing w:after="60" w:line="360" w:lineRule="exact"/>
        <w:ind w:left="1104" w:hangingChars="460" w:hanging="1104"/>
        <w:jc w:val="both"/>
        <w:rPr>
          <w:rFonts w:ascii="Times New Roman" w:eastAsia="DFKai-SB" w:hAnsi="Times New Roman" w:cs="Times New Roman"/>
          <w:color w:val="000000" w:themeColor="text1"/>
        </w:rPr>
      </w:pPr>
      <w:r w:rsidRPr="003D779E">
        <w:rPr>
          <w:rFonts w:ascii="Times New Roman" w:eastAsia="DFKai-SB" w:hAnsi="Times New Roman" w:cs="Times New Roman"/>
          <w:color w:val="000000" w:themeColor="text1"/>
        </w:rPr>
        <w:t>Article 6</w:t>
      </w:r>
      <w:r w:rsidR="00781199">
        <w:rPr>
          <w:rFonts w:ascii="Times New Roman" w:eastAsia="DFKai-SB" w:hAnsi="Times New Roman" w:cs="Times New Roman" w:hint="eastAsia"/>
          <w:color w:val="000000" w:themeColor="text1"/>
        </w:rPr>
        <w:t xml:space="preserve"> </w:t>
      </w:r>
      <w:r w:rsidR="00F03C5C">
        <w:rPr>
          <w:rFonts w:ascii="Times New Roman" w:eastAsia="DFKai-SB" w:hAnsi="Times New Roman" w:cs="Times New Roman"/>
          <w:color w:val="000000" w:themeColor="text1"/>
        </w:rPr>
        <w:tab/>
      </w:r>
      <w:r w:rsidR="00451284">
        <w:rPr>
          <w:rFonts w:ascii="Times New Roman" w:eastAsia="DFKai-SB" w:hAnsi="Times New Roman" w:cs="Times New Roman"/>
          <w:color w:val="000000" w:themeColor="text1"/>
        </w:rPr>
        <w:t>G</w:t>
      </w:r>
      <w:r w:rsidR="00A45AFE">
        <w:rPr>
          <w:rFonts w:ascii="Times New Roman" w:eastAsia="DFKai-SB" w:hAnsi="Times New Roman" w:cs="Times New Roman"/>
          <w:color w:val="000000" w:themeColor="text1"/>
        </w:rPr>
        <w:t>enerally, t</w:t>
      </w:r>
      <w:r w:rsidRPr="003D779E">
        <w:rPr>
          <w:rFonts w:ascii="Times New Roman" w:eastAsia="DFKai-SB" w:hAnsi="Times New Roman" w:cs="Times New Roman"/>
          <w:color w:val="000000" w:themeColor="text1"/>
        </w:rPr>
        <w:t xml:space="preserve">he process of matching newly appointed faculty with mentors is </w:t>
      </w:r>
      <w:r w:rsidR="00A45AFE">
        <w:rPr>
          <w:rFonts w:ascii="Times New Roman" w:eastAsia="DFKai-SB" w:hAnsi="Times New Roman" w:cs="Times New Roman"/>
          <w:color w:val="000000" w:themeColor="text1"/>
        </w:rPr>
        <w:t>fully overseen</w:t>
      </w:r>
      <w:r w:rsidRPr="003D779E">
        <w:rPr>
          <w:rFonts w:ascii="Times New Roman" w:eastAsia="DFKai-SB" w:hAnsi="Times New Roman" w:cs="Times New Roman"/>
          <w:color w:val="000000" w:themeColor="text1"/>
        </w:rPr>
        <w:t xml:space="preserve"> by each teaching unit. If a match cannot be made, the Center may provide assistance.</w:t>
      </w:r>
    </w:p>
    <w:p w14:paraId="59B8CE4D" w14:textId="5CB85E24" w:rsidR="003D779E" w:rsidRDefault="003D779E" w:rsidP="00F03C5C">
      <w:pPr>
        <w:spacing w:after="60" w:line="360" w:lineRule="exact"/>
        <w:ind w:left="1104" w:hangingChars="460" w:hanging="1104"/>
        <w:jc w:val="both"/>
        <w:rPr>
          <w:rFonts w:ascii="Times New Roman" w:eastAsia="DFKai-SB" w:hAnsi="Times New Roman" w:cs="Times New Roman"/>
          <w:color w:val="000000" w:themeColor="text1"/>
        </w:rPr>
      </w:pPr>
      <w:r w:rsidRPr="003D779E">
        <w:rPr>
          <w:rFonts w:ascii="Times New Roman" w:eastAsia="DFKai-SB" w:hAnsi="Times New Roman" w:cs="Times New Roman"/>
          <w:color w:val="000000" w:themeColor="text1"/>
        </w:rPr>
        <w:t>Article 7</w:t>
      </w:r>
      <w:r w:rsidR="00781199">
        <w:rPr>
          <w:rFonts w:ascii="Times New Roman" w:eastAsia="DFKai-SB" w:hAnsi="Times New Roman" w:cs="Times New Roman" w:hint="eastAsia"/>
          <w:color w:val="000000" w:themeColor="text1"/>
        </w:rPr>
        <w:t xml:space="preserve"> </w:t>
      </w:r>
      <w:r w:rsidR="00F03C5C">
        <w:rPr>
          <w:rFonts w:ascii="Times New Roman" w:eastAsia="DFKai-SB" w:hAnsi="Times New Roman" w:cs="Times New Roman"/>
          <w:color w:val="000000" w:themeColor="text1"/>
        </w:rPr>
        <w:tab/>
      </w:r>
      <w:r w:rsidRPr="003D779E">
        <w:rPr>
          <w:rFonts w:ascii="Times New Roman" w:eastAsia="DFKai-SB" w:hAnsi="Times New Roman" w:cs="Times New Roman"/>
          <w:color w:val="000000" w:themeColor="text1"/>
        </w:rPr>
        <w:t>The teaching enhancement activities are divided into three stages each semester (beginning, mid-term, and end-of-term). During each stage, the newly appointed faculty and their mentors must meet at least once to discuss and submit the relevant documents to the Center for record-keeping.</w:t>
      </w:r>
    </w:p>
    <w:p w14:paraId="6BD81A8C" w14:textId="280082E4" w:rsidR="003D779E" w:rsidRDefault="003D779E" w:rsidP="00F03C5C">
      <w:pPr>
        <w:spacing w:after="60" w:line="360" w:lineRule="exact"/>
        <w:ind w:left="1104" w:hangingChars="460" w:hanging="1104"/>
        <w:jc w:val="both"/>
        <w:rPr>
          <w:rFonts w:ascii="Times New Roman" w:eastAsia="DFKai-SB" w:hAnsi="Times New Roman" w:cs="Times New Roman"/>
          <w:color w:val="000000" w:themeColor="text1"/>
        </w:rPr>
      </w:pPr>
      <w:r w:rsidRPr="003D779E">
        <w:rPr>
          <w:rFonts w:ascii="Times New Roman" w:eastAsia="DFKai-SB" w:hAnsi="Times New Roman" w:cs="Times New Roman"/>
          <w:color w:val="000000" w:themeColor="text1"/>
        </w:rPr>
        <w:t>Article 8</w:t>
      </w:r>
      <w:r w:rsidR="00781199">
        <w:rPr>
          <w:rFonts w:ascii="Times New Roman" w:eastAsia="DFKai-SB" w:hAnsi="Times New Roman" w:cs="Times New Roman" w:hint="eastAsia"/>
          <w:color w:val="000000" w:themeColor="text1"/>
        </w:rPr>
        <w:t xml:space="preserve"> </w:t>
      </w:r>
      <w:r w:rsidR="00F03C5C">
        <w:rPr>
          <w:rFonts w:ascii="Times New Roman" w:eastAsia="DFKai-SB" w:hAnsi="Times New Roman" w:cs="Times New Roman"/>
          <w:color w:val="000000" w:themeColor="text1"/>
        </w:rPr>
        <w:tab/>
      </w:r>
      <w:r w:rsidRPr="003D779E">
        <w:rPr>
          <w:rFonts w:ascii="Times New Roman" w:eastAsia="DFKai-SB" w:hAnsi="Times New Roman" w:cs="Times New Roman"/>
          <w:color w:val="000000" w:themeColor="text1"/>
        </w:rPr>
        <w:t>The aforementioned teaching enhancement activities may include, but are not limited to, the following topics:</w:t>
      </w:r>
    </w:p>
    <w:p w14:paraId="72772177" w14:textId="51E17FB9" w:rsidR="003D779E" w:rsidRPr="00781199" w:rsidRDefault="003D779E" w:rsidP="00781199">
      <w:pPr>
        <w:pStyle w:val="ListParagraph"/>
        <w:numPr>
          <w:ilvl w:val="0"/>
          <w:numId w:val="5"/>
        </w:numPr>
        <w:spacing w:after="60" w:line="360" w:lineRule="exact"/>
        <w:ind w:leftChars="0" w:left="1560"/>
        <w:jc w:val="both"/>
        <w:rPr>
          <w:rFonts w:ascii="Times New Roman" w:eastAsia="DFKai-SB" w:hAnsi="Times New Roman" w:cs="Times New Roman"/>
          <w:color w:val="000000" w:themeColor="text1"/>
        </w:rPr>
      </w:pPr>
      <w:r w:rsidRPr="00781199">
        <w:rPr>
          <w:rFonts w:ascii="Times New Roman" w:eastAsia="DFKai-SB" w:hAnsi="Times New Roman" w:cs="Times New Roman"/>
          <w:color w:val="000000" w:themeColor="text1"/>
        </w:rPr>
        <w:t>Beginning of the semester: Course syllabus, teaching objectives, diverse assessment methods, discussions on innovative teaching practices, and participation in internal and external teaching workshops.</w:t>
      </w:r>
    </w:p>
    <w:p w14:paraId="3DED8195" w14:textId="11C25102" w:rsidR="003D779E" w:rsidRPr="00781199" w:rsidRDefault="003D779E" w:rsidP="00781199">
      <w:pPr>
        <w:pStyle w:val="ListParagraph"/>
        <w:numPr>
          <w:ilvl w:val="0"/>
          <w:numId w:val="5"/>
        </w:numPr>
        <w:spacing w:after="60" w:line="360" w:lineRule="exact"/>
        <w:ind w:leftChars="0" w:left="1560"/>
        <w:jc w:val="both"/>
        <w:rPr>
          <w:rFonts w:ascii="Times New Roman" w:eastAsia="DFKai-SB" w:hAnsi="Times New Roman" w:cs="Times New Roman"/>
          <w:color w:val="000000" w:themeColor="text1"/>
        </w:rPr>
      </w:pPr>
      <w:r w:rsidRPr="00781199">
        <w:rPr>
          <w:rFonts w:ascii="Times New Roman" w:eastAsia="DFKai-SB" w:hAnsi="Times New Roman" w:cs="Times New Roman"/>
          <w:color w:val="000000" w:themeColor="text1"/>
        </w:rPr>
        <w:t xml:space="preserve">Mid-term: Student feedback on learning, on-site teaching feedback, mechanisms for </w:t>
      </w:r>
      <w:r w:rsidRPr="00781199">
        <w:rPr>
          <w:rFonts w:ascii="Times New Roman" w:eastAsia="DFKai-SB" w:hAnsi="Times New Roman" w:cs="Times New Roman"/>
          <w:color w:val="000000" w:themeColor="text1"/>
        </w:rPr>
        <w:lastRenderedPageBreak/>
        <w:t>teacher</w:t>
      </w:r>
      <w:r w:rsidR="00781199" w:rsidRPr="00781199">
        <w:rPr>
          <w:rFonts w:ascii="Times New Roman" w:eastAsia="DFKai-SB" w:hAnsi="Times New Roman" w:cs="Times New Roman"/>
          <w:color w:val="000000" w:themeColor="text1"/>
        </w:rPr>
        <w:t>–</w:t>
      </w:r>
      <w:r w:rsidRPr="00781199">
        <w:rPr>
          <w:rFonts w:ascii="Times New Roman" w:eastAsia="DFKai-SB" w:hAnsi="Times New Roman" w:cs="Times New Roman"/>
          <w:color w:val="000000" w:themeColor="text1"/>
        </w:rPr>
        <w:t>student interaction feedback, and, if necessary, mentors may observe classes or invite newly appointed faculty to observe their courses. External scholars and experts may also be invited to observe classes and provide teaching suggestions. The required expenses will be covered by the Center, sourced from relevant funds approved by governmental departments or the University’s self-raised</w:t>
      </w:r>
      <w:r w:rsidR="00781199">
        <w:rPr>
          <w:rFonts w:ascii="Times New Roman" w:eastAsia="DFKai-SB" w:hAnsi="Times New Roman" w:cs="Times New Roman" w:hint="eastAsia"/>
          <w:color w:val="000000" w:themeColor="text1"/>
        </w:rPr>
        <w:t xml:space="preserve"> endowment</w:t>
      </w:r>
      <w:r w:rsidRPr="00781199">
        <w:rPr>
          <w:rFonts w:ascii="Times New Roman" w:eastAsia="DFKai-SB" w:hAnsi="Times New Roman" w:cs="Times New Roman"/>
          <w:color w:val="000000" w:themeColor="text1"/>
        </w:rPr>
        <w:t xml:space="preserve"> funds.</w:t>
      </w:r>
    </w:p>
    <w:p w14:paraId="6D1AB483" w14:textId="47384E0E" w:rsidR="003D779E" w:rsidRDefault="003D779E" w:rsidP="00781199">
      <w:pPr>
        <w:pStyle w:val="ListParagraph"/>
        <w:numPr>
          <w:ilvl w:val="0"/>
          <w:numId w:val="5"/>
        </w:numPr>
        <w:spacing w:after="60" w:line="360" w:lineRule="exact"/>
        <w:ind w:leftChars="0" w:left="1560"/>
        <w:jc w:val="both"/>
        <w:rPr>
          <w:rFonts w:ascii="Times New Roman" w:eastAsia="DFKai-SB" w:hAnsi="Times New Roman" w:cs="Times New Roman"/>
          <w:color w:val="000000" w:themeColor="text1"/>
        </w:rPr>
      </w:pPr>
      <w:r w:rsidRPr="003D779E">
        <w:rPr>
          <w:rFonts w:ascii="Times New Roman" w:eastAsia="DFKai-SB" w:hAnsi="Times New Roman" w:cs="Times New Roman"/>
          <w:color w:val="000000" w:themeColor="text1"/>
        </w:rPr>
        <w:t>End-of-term: Overall review of the semester, feedback on improvements, and future expectations.</w:t>
      </w:r>
    </w:p>
    <w:p w14:paraId="54F9AD6B" w14:textId="12588125" w:rsidR="003D779E" w:rsidRDefault="003D779E" w:rsidP="00F03C5C">
      <w:pPr>
        <w:spacing w:after="60" w:line="360" w:lineRule="exact"/>
        <w:ind w:left="1104" w:hangingChars="460" w:hanging="1104"/>
        <w:jc w:val="both"/>
        <w:rPr>
          <w:rFonts w:ascii="Times New Roman" w:eastAsia="DFKai-SB" w:hAnsi="Times New Roman" w:cs="Times New Roman"/>
          <w:color w:val="000000" w:themeColor="text1"/>
        </w:rPr>
      </w:pPr>
      <w:bookmarkStart w:id="1" w:name="_Hlk158043922"/>
      <w:r w:rsidRPr="003D779E">
        <w:rPr>
          <w:rFonts w:ascii="Times New Roman" w:eastAsia="DFKai-SB" w:hAnsi="Times New Roman" w:cs="Times New Roman"/>
          <w:color w:val="000000" w:themeColor="text1"/>
        </w:rPr>
        <w:t>Article 9</w:t>
      </w:r>
      <w:r w:rsidR="00781199">
        <w:rPr>
          <w:rFonts w:ascii="Times New Roman" w:eastAsia="DFKai-SB" w:hAnsi="Times New Roman" w:cs="Times New Roman" w:hint="eastAsia"/>
          <w:color w:val="000000" w:themeColor="text1"/>
        </w:rPr>
        <w:t xml:space="preserve"> </w:t>
      </w:r>
      <w:r w:rsidR="00F03C5C">
        <w:rPr>
          <w:rFonts w:ascii="Times New Roman" w:eastAsia="DFKai-SB" w:hAnsi="Times New Roman" w:cs="Times New Roman"/>
          <w:color w:val="000000" w:themeColor="text1"/>
        </w:rPr>
        <w:tab/>
      </w:r>
      <w:r w:rsidRPr="003D779E">
        <w:rPr>
          <w:rFonts w:ascii="Times New Roman" w:eastAsia="DFKai-SB" w:hAnsi="Times New Roman" w:cs="Times New Roman"/>
          <w:color w:val="000000" w:themeColor="text1"/>
        </w:rPr>
        <w:t>The duration of the teaching enhancement program is one academic year. Upon completion, the Committee of the newly appointed faculty’s hiring unit will conduct an effectiveness evaluation. If the evaluation results are unsatisfactory, the faculty member must continue participating in the program.</w:t>
      </w:r>
    </w:p>
    <w:bookmarkEnd w:id="1"/>
    <w:p w14:paraId="199B1EAA" w14:textId="7B64B426" w:rsidR="003D779E" w:rsidRPr="003D779E" w:rsidRDefault="003D779E" w:rsidP="00F03C5C">
      <w:pPr>
        <w:spacing w:after="60" w:line="360" w:lineRule="exact"/>
        <w:ind w:left="1104" w:hangingChars="460" w:hanging="1104"/>
        <w:jc w:val="both"/>
        <w:rPr>
          <w:rFonts w:ascii="Times New Roman" w:eastAsia="DFKai-SB" w:hAnsi="Times New Roman" w:cs="Times New Roman"/>
          <w:color w:val="000000" w:themeColor="text1"/>
        </w:rPr>
      </w:pPr>
      <w:r w:rsidRPr="003D779E">
        <w:rPr>
          <w:rFonts w:ascii="Times New Roman" w:eastAsia="DFKai-SB" w:hAnsi="Times New Roman" w:cs="Times New Roman"/>
          <w:color w:val="000000" w:themeColor="text1"/>
        </w:rPr>
        <w:t>Article 10</w:t>
      </w:r>
      <w:r w:rsidR="00781199">
        <w:rPr>
          <w:rFonts w:ascii="Times New Roman" w:eastAsia="DFKai-SB" w:hAnsi="Times New Roman" w:cs="Times New Roman" w:hint="eastAsia"/>
          <w:color w:val="000000" w:themeColor="text1"/>
        </w:rPr>
        <w:t xml:space="preserve"> </w:t>
      </w:r>
      <w:r w:rsidRPr="003D779E">
        <w:rPr>
          <w:rFonts w:ascii="Times New Roman" w:eastAsia="DFKai-SB" w:hAnsi="Times New Roman" w:cs="Times New Roman"/>
          <w:color w:val="000000" w:themeColor="text1"/>
        </w:rPr>
        <w:t>The application methods, operational schedules, and required documents mentioned in these guidelines will be announced separately by the Center.</w:t>
      </w:r>
    </w:p>
    <w:p w14:paraId="54954028" w14:textId="74B01D44" w:rsidR="0027565A" w:rsidRPr="00D069F0" w:rsidRDefault="003D779E" w:rsidP="00F03C5C">
      <w:pPr>
        <w:spacing w:after="60" w:line="360" w:lineRule="exact"/>
        <w:ind w:left="1104" w:hangingChars="460" w:hanging="1104"/>
        <w:jc w:val="both"/>
        <w:rPr>
          <w:rFonts w:ascii="Times New Roman" w:eastAsia="DFKai-SB" w:hAnsi="Times New Roman" w:cs="Times New Roman"/>
          <w:color w:val="000000" w:themeColor="text1"/>
        </w:rPr>
      </w:pPr>
      <w:r w:rsidRPr="003D779E">
        <w:rPr>
          <w:rFonts w:ascii="Times New Roman" w:eastAsia="DFKai-SB" w:hAnsi="Times New Roman" w:cs="Times New Roman"/>
          <w:color w:val="000000" w:themeColor="text1"/>
        </w:rPr>
        <w:t>Article 11</w:t>
      </w:r>
      <w:r w:rsidR="00781199">
        <w:rPr>
          <w:rFonts w:ascii="Times New Roman" w:eastAsia="DFKai-SB" w:hAnsi="Times New Roman" w:cs="Times New Roman" w:hint="eastAsia"/>
          <w:color w:val="000000" w:themeColor="text1"/>
        </w:rPr>
        <w:t xml:space="preserve"> </w:t>
      </w:r>
      <w:r w:rsidRPr="003D779E">
        <w:rPr>
          <w:rFonts w:ascii="Times New Roman" w:eastAsia="DFKai-SB" w:hAnsi="Times New Roman" w:cs="Times New Roman"/>
          <w:color w:val="000000" w:themeColor="text1"/>
        </w:rPr>
        <w:t xml:space="preserve">These guidelines </w:t>
      </w:r>
      <w:r w:rsidR="00781199">
        <w:rPr>
          <w:rFonts w:ascii="Times New Roman" w:eastAsia="DFKai-SB" w:hAnsi="Times New Roman" w:cs="Times New Roman" w:hint="eastAsia"/>
          <w:color w:val="000000" w:themeColor="text1"/>
        </w:rPr>
        <w:t xml:space="preserve">and </w:t>
      </w:r>
      <w:r w:rsidR="00A45AFE">
        <w:rPr>
          <w:rFonts w:ascii="Times New Roman" w:eastAsia="DFKai-SB" w:hAnsi="Times New Roman" w:cs="Times New Roman"/>
          <w:color w:val="000000" w:themeColor="text1"/>
        </w:rPr>
        <w:t xml:space="preserve">any </w:t>
      </w:r>
      <w:r w:rsidR="00781199">
        <w:rPr>
          <w:rFonts w:ascii="Times New Roman" w:eastAsia="DFKai-SB" w:hAnsi="Times New Roman" w:cs="Times New Roman" w:hint="eastAsia"/>
          <w:color w:val="000000" w:themeColor="text1"/>
        </w:rPr>
        <w:t xml:space="preserve">amendments </w:t>
      </w:r>
      <w:r w:rsidR="00A45AFE">
        <w:rPr>
          <w:rFonts w:ascii="Times New Roman" w:eastAsia="DFKai-SB" w:hAnsi="Times New Roman" w:cs="Times New Roman"/>
          <w:color w:val="000000" w:themeColor="text1"/>
        </w:rPr>
        <w:t>thereto are</w:t>
      </w:r>
      <w:r w:rsidRPr="003D779E">
        <w:rPr>
          <w:rFonts w:ascii="Times New Roman" w:eastAsia="DFKai-SB" w:hAnsi="Times New Roman" w:cs="Times New Roman"/>
          <w:color w:val="000000" w:themeColor="text1"/>
        </w:rPr>
        <w:t xml:space="preserve"> implemented upon approval </w:t>
      </w:r>
      <w:r w:rsidR="00A45AFE">
        <w:rPr>
          <w:rFonts w:ascii="Times New Roman" w:eastAsia="DFKai-SB" w:hAnsi="Times New Roman" w:cs="Times New Roman"/>
          <w:color w:val="000000" w:themeColor="text1"/>
        </w:rPr>
        <w:t>at</w:t>
      </w:r>
      <w:r w:rsidRPr="003D779E">
        <w:rPr>
          <w:rFonts w:ascii="Times New Roman" w:eastAsia="DFKai-SB" w:hAnsi="Times New Roman" w:cs="Times New Roman"/>
          <w:color w:val="000000" w:themeColor="text1"/>
        </w:rPr>
        <w:t xml:space="preserve"> the Administrative Meeting.</w:t>
      </w:r>
    </w:p>
    <w:p w14:paraId="7749BA90" w14:textId="77777777" w:rsidR="00942636" w:rsidRPr="00D069F0" w:rsidRDefault="00942636" w:rsidP="00942636">
      <w:pPr>
        <w:jc w:val="both"/>
        <w:rPr>
          <w:rFonts w:ascii="DFKai-SB" w:eastAsia="DFKai-SB" w:hAnsi="DFKai-SB" w:cs="Times New Roman"/>
          <w:vanish/>
          <w:color w:val="000000" w:themeColor="text1"/>
          <w:specVanish/>
        </w:rPr>
      </w:pPr>
    </w:p>
    <w:p w14:paraId="4AD64DB0" w14:textId="4AD74F7F" w:rsidR="00927587" w:rsidRPr="00D069F0" w:rsidRDefault="00927587" w:rsidP="00927587">
      <w:pPr>
        <w:rPr>
          <w:rFonts w:ascii="DFKai-SB" w:eastAsia="DFKai-SB" w:hAnsi="DFKai-SB" w:cs="Times New Roman"/>
          <w:vanish/>
          <w:color w:val="000000" w:themeColor="text1"/>
          <w:specVanish/>
        </w:rPr>
      </w:pPr>
    </w:p>
    <w:p w14:paraId="0CE4EFBF" w14:textId="41119D5E" w:rsidR="00927587" w:rsidRPr="00D069F0" w:rsidRDefault="00927587" w:rsidP="00927587">
      <w:pPr>
        <w:rPr>
          <w:rFonts w:ascii="DFKai-SB" w:eastAsia="DFKai-SB" w:hAnsi="DFKai-SB" w:cs="Times New Roman"/>
          <w:vanish/>
          <w:color w:val="000000" w:themeColor="text1"/>
          <w:specVanish/>
        </w:rPr>
      </w:pPr>
    </w:p>
    <w:sectPr w:rsidR="00927587" w:rsidRPr="00D069F0" w:rsidSect="00F03C5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F23F" w14:textId="77777777" w:rsidR="00667286" w:rsidRDefault="00667286" w:rsidP="00FC5013">
      <w:r>
        <w:separator/>
      </w:r>
    </w:p>
  </w:endnote>
  <w:endnote w:type="continuationSeparator" w:id="0">
    <w:p w14:paraId="21006197" w14:textId="77777777" w:rsidR="00667286" w:rsidRDefault="00667286" w:rsidP="00FC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DFKai-SB">
    <w:altName w:val="Microsoft YaHei"/>
    <w:panose1 w:val="03000509000000000000"/>
    <w:charset w:val="88"/>
    <w:family w:val="script"/>
    <w:pitch w:val="fixed"/>
    <w:sig w:usb0="F1002BFF" w:usb1="29DFFFFF" w:usb2="00000037" w:usb3="00000000" w:csb0="001000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BE410" w14:textId="77777777" w:rsidR="00667286" w:rsidRDefault="00667286" w:rsidP="00FC5013">
      <w:r>
        <w:separator/>
      </w:r>
    </w:p>
  </w:footnote>
  <w:footnote w:type="continuationSeparator" w:id="0">
    <w:p w14:paraId="41362D3C" w14:textId="77777777" w:rsidR="00667286" w:rsidRDefault="00667286" w:rsidP="00FC5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A68BF"/>
    <w:multiLevelType w:val="hybridMultilevel"/>
    <w:tmpl w:val="2EEEDF30"/>
    <w:lvl w:ilvl="0" w:tplc="403A5F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6D413AC"/>
    <w:multiLevelType w:val="hybridMultilevel"/>
    <w:tmpl w:val="5D309038"/>
    <w:lvl w:ilvl="0" w:tplc="E996D448">
      <w:start w:val="1"/>
      <w:numFmt w:val="decimal"/>
      <w:lvlText w:val="(%1)"/>
      <w:lvlJc w:val="left"/>
      <w:pPr>
        <w:ind w:left="365" w:hanging="360"/>
      </w:pPr>
      <w:rPr>
        <w:rFonts w:hint="default"/>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2" w15:restartNumberingAfterBreak="0">
    <w:nsid w:val="6FEF654E"/>
    <w:multiLevelType w:val="hybridMultilevel"/>
    <w:tmpl w:val="3F9EFB08"/>
    <w:lvl w:ilvl="0" w:tplc="0BAE5ECE">
      <w:start w:val="1"/>
      <w:numFmt w:val="taiwaneseCountingThousand"/>
      <w:lvlText w:val="第%1條"/>
      <w:lvlJc w:val="left"/>
      <w:pPr>
        <w:ind w:left="840" w:hanging="84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5B60C6A"/>
    <w:multiLevelType w:val="hybridMultilevel"/>
    <w:tmpl w:val="CDE6731C"/>
    <w:lvl w:ilvl="0" w:tplc="EC480456">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7A722754"/>
    <w:multiLevelType w:val="hybridMultilevel"/>
    <w:tmpl w:val="100E38B0"/>
    <w:lvl w:ilvl="0" w:tplc="B8EA77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31526178">
    <w:abstractNumId w:val="2"/>
  </w:num>
  <w:num w:numId="2" w16cid:durableId="126049254">
    <w:abstractNumId w:val="3"/>
  </w:num>
  <w:num w:numId="3" w16cid:durableId="2125495851">
    <w:abstractNumId w:val="0"/>
  </w:num>
  <w:num w:numId="4" w16cid:durableId="1278179714">
    <w:abstractNumId w:val="4"/>
  </w:num>
  <w:num w:numId="5" w16cid:durableId="16416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CC"/>
    <w:rsid w:val="0001095E"/>
    <w:rsid w:val="00013067"/>
    <w:rsid w:val="00020163"/>
    <w:rsid w:val="0006014B"/>
    <w:rsid w:val="00061005"/>
    <w:rsid w:val="00071758"/>
    <w:rsid w:val="000913A9"/>
    <w:rsid w:val="000940BB"/>
    <w:rsid w:val="000A2227"/>
    <w:rsid w:val="000B0496"/>
    <w:rsid w:val="000B7A20"/>
    <w:rsid w:val="000D57AB"/>
    <w:rsid w:val="000E5888"/>
    <w:rsid w:val="0010245F"/>
    <w:rsid w:val="00103A01"/>
    <w:rsid w:val="001120F4"/>
    <w:rsid w:val="00126065"/>
    <w:rsid w:val="00133997"/>
    <w:rsid w:val="00135763"/>
    <w:rsid w:val="00156945"/>
    <w:rsid w:val="00184061"/>
    <w:rsid w:val="001A75C5"/>
    <w:rsid w:val="001B25A6"/>
    <w:rsid w:val="001C08C3"/>
    <w:rsid w:val="001D0E17"/>
    <w:rsid w:val="001F45B7"/>
    <w:rsid w:val="002001C0"/>
    <w:rsid w:val="00203638"/>
    <w:rsid w:val="00227083"/>
    <w:rsid w:val="00236CA2"/>
    <w:rsid w:val="0027565A"/>
    <w:rsid w:val="002A50F6"/>
    <w:rsid w:val="002A5FE8"/>
    <w:rsid w:val="002B4007"/>
    <w:rsid w:val="002B75F6"/>
    <w:rsid w:val="002D14C1"/>
    <w:rsid w:val="002D4A48"/>
    <w:rsid w:val="002E3ACC"/>
    <w:rsid w:val="002E5C53"/>
    <w:rsid w:val="002F421A"/>
    <w:rsid w:val="003027C7"/>
    <w:rsid w:val="00310317"/>
    <w:rsid w:val="003130A3"/>
    <w:rsid w:val="003163CF"/>
    <w:rsid w:val="0032152C"/>
    <w:rsid w:val="003324F9"/>
    <w:rsid w:val="003418FA"/>
    <w:rsid w:val="00357BE3"/>
    <w:rsid w:val="00361B83"/>
    <w:rsid w:val="003641E7"/>
    <w:rsid w:val="00374E9C"/>
    <w:rsid w:val="003A0292"/>
    <w:rsid w:val="003A3229"/>
    <w:rsid w:val="003A44B6"/>
    <w:rsid w:val="003A56F4"/>
    <w:rsid w:val="003A79DE"/>
    <w:rsid w:val="003B0BB7"/>
    <w:rsid w:val="003B19CB"/>
    <w:rsid w:val="003B22C5"/>
    <w:rsid w:val="003B24B7"/>
    <w:rsid w:val="003C0129"/>
    <w:rsid w:val="003D17F5"/>
    <w:rsid w:val="003D779E"/>
    <w:rsid w:val="003E2FA4"/>
    <w:rsid w:val="003F1252"/>
    <w:rsid w:val="003F2D33"/>
    <w:rsid w:val="003F5B99"/>
    <w:rsid w:val="00424504"/>
    <w:rsid w:val="00431170"/>
    <w:rsid w:val="004351BE"/>
    <w:rsid w:val="004441D1"/>
    <w:rsid w:val="00451284"/>
    <w:rsid w:val="00452D9E"/>
    <w:rsid w:val="00480B63"/>
    <w:rsid w:val="00482AAC"/>
    <w:rsid w:val="0049217C"/>
    <w:rsid w:val="00493FD7"/>
    <w:rsid w:val="004C1592"/>
    <w:rsid w:val="004D506F"/>
    <w:rsid w:val="004F0DB4"/>
    <w:rsid w:val="00510632"/>
    <w:rsid w:val="0052207A"/>
    <w:rsid w:val="00546BF7"/>
    <w:rsid w:val="005515BA"/>
    <w:rsid w:val="00564EF4"/>
    <w:rsid w:val="0056514B"/>
    <w:rsid w:val="00571A4F"/>
    <w:rsid w:val="0057230F"/>
    <w:rsid w:val="005960DC"/>
    <w:rsid w:val="005D294F"/>
    <w:rsid w:val="005D53B3"/>
    <w:rsid w:val="005E110A"/>
    <w:rsid w:val="005E3715"/>
    <w:rsid w:val="005E4E17"/>
    <w:rsid w:val="005F2891"/>
    <w:rsid w:val="005F2D4D"/>
    <w:rsid w:val="00602748"/>
    <w:rsid w:val="00604287"/>
    <w:rsid w:val="00606B99"/>
    <w:rsid w:val="00610F67"/>
    <w:rsid w:val="00623297"/>
    <w:rsid w:val="006334C4"/>
    <w:rsid w:val="0065483A"/>
    <w:rsid w:val="006558F4"/>
    <w:rsid w:val="006614B5"/>
    <w:rsid w:val="00667286"/>
    <w:rsid w:val="006C576F"/>
    <w:rsid w:val="006D5FC4"/>
    <w:rsid w:val="006F526E"/>
    <w:rsid w:val="0072466D"/>
    <w:rsid w:val="0074027D"/>
    <w:rsid w:val="00741326"/>
    <w:rsid w:val="00751696"/>
    <w:rsid w:val="0075629A"/>
    <w:rsid w:val="00765F72"/>
    <w:rsid w:val="0077487D"/>
    <w:rsid w:val="00781199"/>
    <w:rsid w:val="00795071"/>
    <w:rsid w:val="007B1031"/>
    <w:rsid w:val="007D770D"/>
    <w:rsid w:val="007D7F9E"/>
    <w:rsid w:val="0083106A"/>
    <w:rsid w:val="00846DFF"/>
    <w:rsid w:val="00852CF2"/>
    <w:rsid w:val="00856120"/>
    <w:rsid w:val="0085724E"/>
    <w:rsid w:val="00864097"/>
    <w:rsid w:val="008661AC"/>
    <w:rsid w:val="00873992"/>
    <w:rsid w:val="0087738D"/>
    <w:rsid w:val="0088003F"/>
    <w:rsid w:val="0089106A"/>
    <w:rsid w:val="008A6DCE"/>
    <w:rsid w:val="008C4CAF"/>
    <w:rsid w:val="008E7A8B"/>
    <w:rsid w:val="008F0177"/>
    <w:rsid w:val="008F1886"/>
    <w:rsid w:val="008F1B71"/>
    <w:rsid w:val="008F4E42"/>
    <w:rsid w:val="008F5637"/>
    <w:rsid w:val="0092235A"/>
    <w:rsid w:val="00927587"/>
    <w:rsid w:val="00942636"/>
    <w:rsid w:val="009463EF"/>
    <w:rsid w:val="00957031"/>
    <w:rsid w:val="009716A9"/>
    <w:rsid w:val="009754E1"/>
    <w:rsid w:val="009867F3"/>
    <w:rsid w:val="009A0527"/>
    <w:rsid w:val="009B1AAA"/>
    <w:rsid w:val="009B2FA1"/>
    <w:rsid w:val="009B609F"/>
    <w:rsid w:val="009C1C6A"/>
    <w:rsid w:val="009D1385"/>
    <w:rsid w:val="009D313B"/>
    <w:rsid w:val="009E1F51"/>
    <w:rsid w:val="009F3478"/>
    <w:rsid w:val="009F490D"/>
    <w:rsid w:val="00A34AE1"/>
    <w:rsid w:val="00A45AFE"/>
    <w:rsid w:val="00A72DEE"/>
    <w:rsid w:val="00A84D93"/>
    <w:rsid w:val="00AB31DB"/>
    <w:rsid w:val="00AB53EB"/>
    <w:rsid w:val="00B11B18"/>
    <w:rsid w:val="00B17C0A"/>
    <w:rsid w:val="00B22BBA"/>
    <w:rsid w:val="00B41BDE"/>
    <w:rsid w:val="00B4559F"/>
    <w:rsid w:val="00B46545"/>
    <w:rsid w:val="00B47D19"/>
    <w:rsid w:val="00B564A0"/>
    <w:rsid w:val="00BA1851"/>
    <w:rsid w:val="00BA2394"/>
    <w:rsid w:val="00BA2B19"/>
    <w:rsid w:val="00BB1312"/>
    <w:rsid w:val="00BB6332"/>
    <w:rsid w:val="00BC3BC9"/>
    <w:rsid w:val="00BC5796"/>
    <w:rsid w:val="00BD2485"/>
    <w:rsid w:val="00BE2C2C"/>
    <w:rsid w:val="00BE702C"/>
    <w:rsid w:val="00C226CE"/>
    <w:rsid w:val="00C228C1"/>
    <w:rsid w:val="00C24AF0"/>
    <w:rsid w:val="00C27309"/>
    <w:rsid w:val="00C35177"/>
    <w:rsid w:val="00C51184"/>
    <w:rsid w:val="00C62C01"/>
    <w:rsid w:val="00C654D4"/>
    <w:rsid w:val="00C66C34"/>
    <w:rsid w:val="00C855CC"/>
    <w:rsid w:val="00C879C4"/>
    <w:rsid w:val="00C97115"/>
    <w:rsid w:val="00CA6BEE"/>
    <w:rsid w:val="00CC1450"/>
    <w:rsid w:val="00CE664E"/>
    <w:rsid w:val="00CF6A28"/>
    <w:rsid w:val="00D069F0"/>
    <w:rsid w:val="00D176D4"/>
    <w:rsid w:val="00D236D8"/>
    <w:rsid w:val="00D33775"/>
    <w:rsid w:val="00D401C8"/>
    <w:rsid w:val="00D51A6C"/>
    <w:rsid w:val="00D53387"/>
    <w:rsid w:val="00D71B18"/>
    <w:rsid w:val="00D76E84"/>
    <w:rsid w:val="00D77278"/>
    <w:rsid w:val="00D80ECB"/>
    <w:rsid w:val="00D87767"/>
    <w:rsid w:val="00D877FE"/>
    <w:rsid w:val="00DA3931"/>
    <w:rsid w:val="00DA5F14"/>
    <w:rsid w:val="00DB0B33"/>
    <w:rsid w:val="00DB557C"/>
    <w:rsid w:val="00DD09EF"/>
    <w:rsid w:val="00DD29B8"/>
    <w:rsid w:val="00DE3B64"/>
    <w:rsid w:val="00DE6F76"/>
    <w:rsid w:val="00E03921"/>
    <w:rsid w:val="00E04DB4"/>
    <w:rsid w:val="00E102E8"/>
    <w:rsid w:val="00E11DB5"/>
    <w:rsid w:val="00E16CEE"/>
    <w:rsid w:val="00E2480D"/>
    <w:rsid w:val="00E55306"/>
    <w:rsid w:val="00E56F11"/>
    <w:rsid w:val="00E71FB0"/>
    <w:rsid w:val="00E80C67"/>
    <w:rsid w:val="00E8644A"/>
    <w:rsid w:val="00E973D0"/>
    <w:rsid w:val="00EA0B40"/>
    <w:rsid w:val="00EA7234"/>
    <w:rsid w:val="00EB19CC"/>
    <w:rsid w:val="00ED7EA7"/>
    <w:rsid w:val="00F03C5C"/>
    <w:rsid w:val="00F11288"/>
    <w:rsid w:val="00F27127"/>
    <w:rsid w:val="00F56B22"/>
    <w:rsid w:val="00F81907"/>
    <w:rsid w:val="00F81B6B"/>
    <w:rsid w:val="00F823C2"/>
    <w:rsid w:val="00F924E8"/>
    <w:rsid w:val="00F95C99"/>
    <w:rsid w:val="00FC0AF9"/>
    <w:rsid w:val="00FC34DC"/>
    <w:rsid w:val="00FC5013"/>
    <w:rsid w:val="00FC52DE"/>
    <w:rsid w:val="00FE00E5"/>
    <w:rsid w:val="00FF4D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96554"/>
  <w15:chartTrackingRefBased/>
  <w15:docId w15:val="{5321EEEC-7F88-4809-95A5-D99BE17D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A28"/>
    <w:pPr>
      <w:ind w:leftChars="200" w:left="480"/>
    </w:pPr>
  </w:style>
  <w:style w:type="character" w:styleId="CommentReference">
    <w:name w:val="annotation reference"/>
    <w:basedOn w:val="DefaultParagraphFont"/>
    <w:uiPriority w:val="99"/>
    <w:semiHidden/>
    <w:unhideWhenUsed/>
    <w:rsid w:val="003A3229"/>
    <w:rPr>
      <w:sz w:val="18"/>
      <w:szCs w:val="18"/>
    </w:rPr>
  </w:style>
  <w:style w:type="paragraph" w:styleId="CommentText">
    <w:name w:val="annotation text"/>
    <w:aliases w:val="字元"/>
    <w:basedOn w:val="Normal"/>
    <w:link w:val="CommentTextChar"/>
    <w:uiPriority w:val="99"/>
    <w:unhideWhenUsed/>
    <w:rsid w:val="003A3229"/>
  </w:style>
  <w:style w:type="character" w:customStyle="1" w:styleId="CommentTextChar">
    <w:name w:val="Comment Text Char"/>
    <w:aliases w:val="字元 Char"/>
    <w:basedOn w:val="DefaultParagraphFont"/>
    <w:link w:val="CommentText"/>
    <w:uiPriority w:val="99"/>
    <w:rsid w:val="003A3229"/>
  </w:style>
  <w:style w:type="paragraph" w:styleId="CommentSubject">
    <w:name w:val="annotation subject"/>
    <w:basedOn w:val="CommentText"/>
    <w:next w:val="CommentText"/>
    <w:link w:val="CommentSubjectChar"/>
    <w:uiPriority w:val="99"/>
    <w:semiHidden/>
    <w:unhideWhenUsed/>
    <w:rsid w:val="003A3229"/>
    <w:rPr>
      <w:b/>
      <w:bCs/>
    </w:rPr>
  </w:style>
  <w:style w:type="character" w:customStyle="1" w:styleId="CommentSubjectChar">
    <w:name w:val="Comment Subject Char"/>
    <w:basedOn w:val="CommentTextChar"/>
    <w:link w:val="CommentSubject"/>
    <w:uiPriority w:val="99"/>
    <w:semiHidden/>
    <w:rsid w:val="003A3229"/>
    <w:rPr>
      <w:b/>
      <w:bCs/>
    </w:rPr>
  </w:style>
  <w:style w:type="table" w:styleId="TableGrid">
    <w:name w:val="Table Grid"/>
    <w:basedOn w:val="TableNormal"/>
    <w:uiPriority w:val="59"/>
    <w:rsid w:val="0098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013"/>
    <w:pPr>
      <w:tabs>
        <w:tab w:val="center" w:pos="4320"/>
        <w:tab w:val="right" w:pos="8640"/>
      </w:tabs>
    </w:pPr>
  </w:style>
  <w:style w:type="character" w:customStyle="1" w:styleId="HeaderChar">
    <w:name w:val="Header Char"/>
    <w:basedOn w:val="DefaultParagraphFont"/>
    <w:link w:val="Header"/>
    <w:uiPriority w:val="99"/>
    <w:rsid w:val="00FC5013"/>
  </w:style>
  <w:style w:type="paragraph" w:styleId="Footer">
    <w:name w:val="footer"/>
    <w:basedOn w:val="Normal"/>
    <w:link w:val="FooterChar"/>
    <w:uiPriority w:val="99"/>
    <w:unhideWhenUsed/>
    <w:rsid w:val="00FC5013"/>
    <w:pPr>
      <w:tabs>
        <w:tab w:val="center" w:pos="4320"/>
        <w:tab w:val="right" w:pos="8640"/>
      </w:tabs>
    </w:pPr>
  </w:style>
  <w:style w:type="character" w:customStyle="1" w:styleId="FooterChar">
    <w:name w:val="Footer Char"/>
    <w:basedOn w:val="DefaultParagraphFont"/>
    <w:link w:val="Footer"/>
    <w:uiPriority w:val="99"/>
    <w:rsid w:val="00FC5013"/>
  </w:style>
  <w:style w:type="paragraph" w:styleId="BalloonText">
    <w:name w:val="Balloon Text"/>
    <w:basedOn w:val="Normal"/>
    <w:link w:val="BalloonTextChar"/>
    <w:uiPriority w:val="99"/>
    <w:semiHidden/>
    <w:unhideWhenUsed/>
    <w:rsid w:val="00FC5013"/>
    <w:rPr>
      <w:rFonts w:ascii="Microsoft JhengHei UI" w:eastAsia="Microsoft JhengHei UI"/>
      <w:sz w:val="18"/>
      <w:szCs w:val="18"/>
    </w:rPr>
  </w:style>
  <w:style w:type="character" w:customStyle="1" w:styleId="BalloonTextChar">
    <w:name w:val="Balloon Text Char"/>
    <w:basedOn w:val="DefaultParagraphFont"/>
    <w:link w:val="BalloonText"/>
    <w:uiPriority w:val="99"/>
    <w:semiHidden/>
    <w:rsid w:val="00FC5013"/>
    <w:rPr>
      <w:rFonts w:ascii="Microsoft JhengHei UI" w:eastAsia="Microsoft JhengHei UI"/>
      <w:sz w:val="18"/>
      <w:szCs w:val="18"/>
    </w:rPr>
  </w:style>
  <w:style w:type="paragraph" w:styleId="Revision">
    <w:name w:val="Revision"/>
    <w:hidden/>
    <w:uiPriority w:val="99"/>
    <w:semiHidden/>
    <w:rsid w:val="00071758"/>
  </w:style>
  <w:style w:type="character" w:styleId="Hyperlink">
    <w:name w:val="Hyperlink"/>
    <w:basedOn w:val="DefaultParagraphFont"/>
    <w:uiPriority w:val="99"/>
    <w:unhideWhenUsed/>
    <w:rsid w:val="003A44B6"/>
    <w:rPr>
      <w:color w:val="0563C1" w:themeColor="hyperlink"/>
      <w:u w:val="single"/>
    </w:rPr>
  </w:style>
  <w:style w:type="character" w:styleId="UnresolvedMention">
    <w:name w:val="Unresolved Mention"/>
    <w:basedOn w:val="DefaultParagraphFont"/>
    <w:uiPriority w:val="99"/>
    <w:semiHidden/>
    <w:unhideWhenUsed/>
    <w:rsid w:val="003A4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16986-3974-48D1-BB84-D56DD13B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Yuuki Asuna</dc:creator>
  <cp:keywords/>
  <dc:description/>
  <cp:lastModifiedBy>Microsoft Office User</cp:lastModifiedBy>
  <cp:revision>3</cp:revision>
  <cp:lastPrinted>2024-03-28T05:47:00Z</cp:lastPrinted>
  <dcterms:created xsi:type="dcterms:W3CDTF">2024-10-04T02:42:00Z</dcterms:created>
  <dcterms:modified xsi:type="dcterms:W3CDTF">2024-10-30T08:32:00Z</dcterms:modified>
</cp:coreProperties>
</file>