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8B320" w14:textId="4CA99755" w:rsidR="00B17FA4" w:rsidRPr="00BA4749" w:rsidRDefault="00357B6C" w:rsidP="00DF55FE">
      <w:pPr>
        <w:spacing w:after="70" w:line="259" w:lineRule="auto"/>
        <w:ind w:left="0" w:right="179" w:firstLine="0"/>
        <w:jc w:val="center"/>
        <w:rPr>
          <w:rFonts w:ascii="Times New Roman" w:hAnsi="Times New Roman" w:cs="Times New Roman"/>
          <w:sz w:val="33"/>
        </w:rPr>
      </w:pPr>
      <w:r w:rsidRPr="00E438FC">
        <w:rPr>
          <w:rFonts w:ascii="Times New Roman" w:hAnsi="Times New Roman" w:cs="Times New Roman"/>
          <w:sz w:val="33"/>
        </w:rPr>
        <w:t>National Taiwan University of Science and Technology</w:t>
      </w:r>
      <w:r w:rsidR="00DF55FE" w:rsidRPr="00BA4749">
        <w:rPr>
          <w:rFonts w:ascii="Times New Roman" w:hAnsi="Times New Roman" w:cs="Times New Roman"/>
          <w:sz w:val="33"/>
        </w:rPr>
        <w:t xml:space="preserve"> Regulations for Establishing Professional Learning Communities</w:t>
      </w:r>
      <w:r w:rsidR="002B68EA" w:rsidRPr="00BA4749">
        <w:rPr>
          <w:rFonts w:ascii="Times New Roman" w:hAnsi="Times New Roman" w:cs="Times New Roman"/>
          <w:sz w:val="33"/>
        </w:rPr>
        <w:t xml:space="preserve"> for Teachers</w:t>
      </w:r>
    </w:p>
    <w:p w14:paraId="41E352D9" w14:textId="3B381F7C" w:rsidR="00DF55FE" w:rsidRPr="00BA4749" w:rsidRDefault="00DF55FE" w:rsidP="00DF55FE">
      <w:pPr>
        <w:wordWrap w:val="0"/>
        <w:spacing w:after="0" w:line="259" w:lineRule="auto"/>
        <w:ind w:left="10" w:right="47" w:hanging="10"/>
        <w:jc w:val="right"/>
        <w:rPr>
          <w:rFonts w:ascii="Times New Roman" w:eastAsia="Times New Roman" w:hAnsi="Times New Roman" w:cs="Times New Roman"/>
          <w:sz w:val="20"/>
        </w:rPr>
      </w:pPr>
      <w:r w:rsidRPr="00BA4749">
        <w:rPr>
          <w:rFonts w:ascii="Times New Roman" w:eastAsia="Times New Roman" w:hAnsi="Times New Roman" w:cs="Times New Roman"/>
          <w:sz w:val="20"/>
        </w:rPr>
        <w:t>Passed at the 555th Administrative Meeting on June 20, 2017</w:t>
      </w:r>
    </w:p>
    <w:p w14:paraId="714B81AD" w14:textId="777E6A8D" w:rsidR="00DF55FE" w:rsidRPr="00BA4749" w:rsidRDefault="00DF55FE" w:rsidP="00DF55FE">
      <w:pPr>
        <w:wordWrap w:val="0"/>
        <w:spacing w:after="0" w:line="259" w:lineRule="auto"/>
        <w:ind w:left="10" w:right="47" w:hanging="10"/>
        <w:jc w:val="right"/>
        <w:rPr>
          <w:rFonts w:ascii="Times New Roman" w:eastAsia="Times New Roman" w:hAnsi="Times New Roman" w:cs="Times New Roman"/>
          <w:sz w:val="20"/>
        </w:rPr>
      </w:pPr>
      <w:r w:rsidRPr="00BA4749">
        <w:rPr>
          <w:rFonts w:ascii="Times New Roman" w:eastAsia="Times New Roman" w:hAnsi="Times New Roman" w:cs="Times New Roman"/>
          <w:sz w:val="20"/>
        </w:rPr>
        <w:t>Amended and passed at the 579th Administrative Meeting on September 10, 2019</w:t>
      </w:r>
    </w:p>
    <w:p w14:paraId="3FD32DA0" w14:textId="570E1845" w:rsidR="00DF55FE" w:rsidRPr="00BA4749" w:rsidRDefault="00DF55FE" w:rsidP="00DF55FE">
      <w:pPr>
        <w:wordWrap w:val="0"/>
        <w:spacing w:after="0" w:line="259" w:lineRule="auto"/>
        <w:ind w:left="10" w:right="47" w:hanging="10"/>
        <w:jc w:val="right"/>
        <w:rPr>
          <w:rFonts w:ascii="Times New Roman" w:eastAsia="Times New Roman" w:hAnsi="Times New Roman" w:cs="Times New Roman"/>
          <w:sz w:val="20"/>
        </w:rPr>
      </w:pPr>
      <w:r w:rsidRPr="00BA4749">
        <w:rPr>
          <w:rFonts w:ascii="Times New Roman" w:eastAsia="Times New Roman" w:hAnsi="Times New Roman" w:cs="Times New Roman"/>
          <w:sz w:val="20"/>
        </w:rPr>
        <w:t>Amended and passed at the 596th Administrative Meeting on March 23rd, 2021</w:t>
      </w:r>
    </w:p>
    <w:p w14:paraId="114AB281" w14:textId="72B7220C" w:rsidR="00DF55FE" w:rsidRPr="00BA4749" w:rsidRDefault="00DF55FE" w:rsidP="00DF55FE">
      <w:pPr>
        <w:wordWrap w:val="0"/>
        <w:spacing w:after="0" w:line="259" w:lineRule="auto"/>
        <w:ind w:left="10" w:right="47" w:hanging="10"/>
        <w:jc w:val="right"/>
        <w:rPr>
          <w:rFonts w:ascii="Times New Roman" w:eastAsia="Times New Roman" w:hAnsi="Times New Roman" w:cs="Times New Roman"/>
          <w:sz w:val="20"/>
        </w:rPr>
      </w:pPr>
      <w:r w:rsidRPr="00BA4749">
        <w:rPr>
          <w:rFonts w:ascii="Times New Roman" w:eastAsia="Times New Roman" w:hAnsi="Times New Roman" w:cs="Times New Roman"/>
          <w:sz w:val="20"/>
        </w:rPr>
        <w:t>Amended and passed at the 602nd Administrative Meeting on October 26th, 2021</w:t>
      </w:r>
    </w:p>
    <w:p w14:paraId="11D378B6" w14:textId="32A07591" w:rsidR="00DF55FE" w:rsidRPr="00BA4749" w:rsidRDefault="00DF55FE" w:rsidP="00DF55FE">
      <w:pPr>
        <w:wordWrap w:val="0"/>
        <w:spacing w:after="0" w:line="259" w:lineRule="auto"/>
        <w:ind w:left="10" w:right="47" w:hanging="10"/>
        <w:jc w:val="right"/>
        <w:rPr>
          <w:rFonts w:ascii="Times New Roman" w:eastAsia="Times New Roman" w:hAnsi="Times New Roman" w:cs="Times New Roman"/>
          <w:sz w:val="20"/>
        </w:rPr>
      </w:pPr>
      <w:r w:rsidRPr="00BA4749">
        <w:rPr>
          <w:rFonts w:ascii="Times New Roman" w:eastAsia="Times New Roman" w:hAnsi="Times New Roman" w:cs="Times New Roman"/>
          <w:sz w:val="20"/>
        </w:rPr>
        <w:t>Amended and passed at the University Endowment Fund Manage Committee Meeting on November 17th, 2021</w:t>
      </w:r>
    </w:p>
    <w:p w14:paraId="5D7335AD" w14:textId="77777777" w:rsidR="00DF55FE" w:rsidRPr="00BA4749" w:rsidRDefault="00DF55FE" w:rsidP="00DF55FE">
      <w:pPr>
        <w:wordWrap w:val="0"/>
        <w:spacing w:after="0" w:line="259" w:lineRule="auto"/>
        <w:ind w:left="10" w:right="47" w:hanging="10"/>
        <w:jc w:val="right"/>
        <w:rPr>
          <w:rFonts w:ascii="Times New Roman" w:eastAsia="Times New Roman" w:hAnsi="Times New Roman" w:cs="Times New Roman"/>
          <w:sz w:val="20"/>
        </w:rPr>
      </w:pPr>
      <w:r w:rsidRPr="00BA4749">
        <w:rPr>
          <w:rFonts w:ascii="Times New Roman" w:eastAsia="Times New Roman" w:hAnsi="Times New Roman" w:cs="Times New Roman"/>
          <w:sz w:val="20"/>
        </w:rPr>
        <w:t>Amended and passed at the 615th Administrative Meeting on December 13, 2022</w:t>
      </w:r>
    </w:p>
    <w:p w14:paraId="23B2D80C" w14:textId="68D5643C" w:rsidR="00B17FA4" w:rsidRPr="00BA4749" w:rsidRDefault="00DF55FE" w:rsidP="00DF55FE">
      <w:pPr>
        <w:spacing w:after="0" w:line="259" w:lineRule="auto"/>
        <w:ind w:left="10" w:right="47" w:hanging="10"/>
        <w:jc w:val="right"/>
        <w:rPr>
          <w:rFonts w:ascii="Times New Roman" w:eastAsia="Times New Roman" w:hAnsi="Times New Roman" w:cs="Times New Roman"/>
          <w:sz w:val="20"/>
        </w:rPr>
      </w:pPr>
      <w:r w:rsidRPr="00BA4749">
        <w:rPr>
          <w:rFonts w:ascii="Times New Roman" w:eastAsia="Times New Roman" w:hAnsi="Times New Roman" w:cs="Times New Roman"/>
          <w:sz w:val="20"/>
        </w:rPr>
        <w:t>Amended and passed at the 628th Administrative Meeting on March 12th, 2024</w:t>
      </w:r>
    </w:p>
    <w:p w14:paraId="32F19434" w14:textId="77777777" w:rsidR="00DF55FE" w:rsidRPr="00BA4749" w:rsidRDefault="00DF55FE" w:rsidP="00DF55FE">
      <w:pPr>
        <w:spacing w:after="0" w:line="259" w:lineRule="auto"/>
        <w:ind w:left="10" w:right="47" w:hanging="10"/>
        <w:jc w:val="right"/>
        <w:rPr>
          <w:rFonts w:ascii="Times New Roman" w:eastAsia="Times New Roman" w:hAnsi="Times New Roman" w:cs="Times New Roman"/>
          <w:sz w:val="20"/>
        </w:rPr>
      </w:pPr>
    </w:p>
    <w:p w14:paraId="47FA3F38" w14:textId="6DD2B68F" w:rsidR="00DF55FE" w:rsidRPr="00BA4749" w:rsidRDefault="00DF55FE"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1</w:t>
      </w:r>
      <w:r w:rsidR="00ED679A" w:rsidRPr="00BA4749">
        <w:rPr>
          <w:rFonts w:ascii="Times New Roman" w:hAnsi="Times New Roman" w:cs="Times New Roman"/>
        </w:rPr>
        <w:tab/>
        <w:t xml:space="preserve">The Regulations for Establishing Professional Learning Communities </w:t>
      </w:r>
      <w:r w:rsidR="002B68EA" w:rsidRPr="00BA4749">
        <w:rPr>
          <w:rFonts w:ascii="Times New Roman" w:hAnsi="Times New Roman" w:cs="Times New Roman"/>
        </w:rPr>
        <w:t xml:space="preserve">for Teachers </w:t>
      </w:r>
      <w:r w:rsidR="00ED679A" w:rsidRPr="00BA4749">
        <w:rPr>
          <w:rFonts w:ascii="Times New Roman" w:hAnsi="Times New Roman" w:cs="Times New Roman"/>
        </w:rPr>
        <w:t>(hereinafter referred to as these Regulations) are hereby provided by the National Taiwan University of Science and Technology (Taiwan</w:t>
      </w:r>
      <w:r w:rsidR="00CB03F4">
        <w:rPr>
          <w:rFonts w:ascii="Times New Roman" w:hAnsi="Times New Roman" w:cs="Times New Roman"/>
        </w:rPr>
        <w:t xml:space="preserve"> </w:t>
      </w:r>
      <w:r w:rsidR="00ED679A" w:rsidRPr="00BA4749">
        <w:rPr>
          <w:rFonts w:ascii="Times New Roman" w:hAnsi="Times New Roman" w:cs="Times New Roman"/>
        </w:rPr>
        <w:t>Tech) to encourage Taiwan</w:t>
      </w:r>
      <w:r w:rsidR="00CB03F4">
        <w:rPr>
          <w:rFonts w:ascii="Times New Roman" w:hAnsi="Times New Roman" w:cs="Times New Roman"/>
        </w:rPr>
        <w:t xml:space="preserve"> </w:t>
      </w:r>
      <w:r w:rsidR="00ED679A" w:rsidRPr="00BA4749">
        <w:rPr>
          <w:rFonts w:ascii="Times New Roman" w:hAnsi="Times New Roman" w:cs="Times New Roman"/>
        </w:rPr>
        <w:t xml:space="preserve">Tech faculty to form professional learning communities and thereby improve their pedagogical expertise, share their experiences, and pursue personal growth. </w:t>
      </w:r>
    </w:p>
    <w:p w14:paraId="6133AA05" w14:textId="623CEC98" w:rsidR="00ED679A" w:rsidRPr="00BA4749" w:rsidRDefault="00ED679A"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2</w:t>
      </w:r>
      <w:r w:rsidRPr="00BA4749">
        <w:rPr>
          <w:rFonts w:ascii="Times New Roman" w:hAnsi="Times New Roman" w:cs="Times New Roman"/>
        </w:rPr>
        <w:tab/>
      </w:r>
      <w:r w:rsidR="00360636" w:rsidRPr="00BA4749">
        <w:rPr>
          <w:rFonts w:ascii="Times New Roman" w:hAnsi="Times New Roman" w:cs="Times New Roman" w:hint="eastAsia"/>
        </w:rPr>
        <w:t>A</w:t>
      </w:r>
      <w:r w:rsidR="006A68A9" w:rsidRPr="00BA4749">
        <w:rPr>
          <w:rFonts w:ascii="Times New Roman" w:hAnsi="Times New Roman" w:cs="Times New Roman"/>
        </w:rPr>
        <w:t xml:space="preserve"> professional learning community shall comprise </w:t>
      </w:r>
      <w:r w:rsidR="00CB03F4">
        <w:rPr>
          <w:rFonts w:ascii="Times New Roman" w:hAnsi="Times New Roman" w:cs="Times New Roman"/>
        </w:rPr>
        <w:t>at least</w:t>
      </w:r>
      <w:r w:rsidR="00360636" w:rsidRPr="00BA4749">
        <w:rPr>
          <w:rFonts w:ascii="Times New Roman" w:hAnsi="Times New Roman" w:cs="Times New Roman" w:hint="eastAsia"/>
        </w:rPr>
        <w:t xml:space="preserve"> </w:t>
      </w:r>
      <w:r w:rsidR="006A68A9" w:rsidRPr="00BA4749">
        <w:rPr>
          <w:rFonts w:ascii="Times New Roman" w:hAnsi="Times New Roman" w:cs="Times New Roman"/>
        </w:rPr>
        <w:t xml:space="preserve">four full-time </w:t>
      </w:r>
      <w:r w:rsidR="00360636" w:rsidRPr="00BA4749">
        <w:rPr>
          <w:rFonts w:ascii="Times New Roman" w:hAnsi="Times New Roman" w:cs="Times New Roman" w:hint="eastAsia"/>
        </w:rPr>
        <w:t>or</w:t>
      </w:r>
      <w:r w:rsidR="00360636" w:rsidRPr="00BA4749">
        <w:rPr>
          <w:rFonts w:ascii="Times New Roman" w:hAnsi="Times New Roman" w:cs="Times New Roman"/>
        </w:rPr>
        <w:t xml:space="preserve"> </w:t>
      </w:r>
      <w:r w:rsidR="006A68A9" w:rsidRPr="00BA4749">
        <w:rPr>
          <w:rFonts w:ascii="Times New Roman" w:hAnsi="Times New Roman" w:cs="Times New Roman"/>
        </w:rPr>
        <w:t>part-time Taiwan</w:t>
      </w:r>
      <w:r w:rsidR="00CB03F4">
        <w:rPr>
          <w:rFonts w:ascii="Times New Roman" w:hAnsi="Times New Roman" w:cs="Times New Roman"/>
        </w:rPr>
        <w:t xml:space="preserve"> </w:t>
      </w:r>
      <w:r w:rsidR="006A68A9" w:rsidRPr="00BA4749">
        <w:rPr>
          <w:rFonts w:ascii="Times New Roman" w:hAnsi="Times New Roman" w:cs="Times New Roman"/>
        </w:rPr>
        <w:t xml:space="preserve">Tech teachers across different fields of study, at least half of whom must be full-time teachers. The community shall elect a full-time teacher to be the chairperson, who is responsible for planning, contacting community members, compiling event </w:t>
      </w:r>
      <w:r w:rsidR="005A3CFE" w:rsidRPr="00BA4749">
        <w:rPr>
          <w:rFonts w:ascii="Times New Roman" w:hAnsi="Times New Roman" w:cs="Times New Roman"/>
        </w:rPr>
        <w:t xml:space="preserve">achievements, and verifying expenses. The chairperson may serve </w:t>
      </w:r>
      <w:r w:rsidR="00CB03F4">
        <w:rPr>
          <w:rFonts w:ascii="Times New Roman" w:hAnsi="Times New Roman" w:cs="Times New Roman"/>
        </w:rPr>
        <w:t>up to</w:t>
      </w:r>
      <w:r w:rsidR="005A3CFE" w:rsidRPr="00BA4749">
        <w:rPr>
          <w:rFonts w:ascii="Times New Roman" w:hAnsi="Times New Roman" w:cs="Times New Roman"/>
        </w:rPr>
        <w:t xml:space="preserve"> two consecutive terms, and one year must pass before the same person may be chairperson for a third term. </w:t>
      </w:r>
      <w:r w:rsidR="00D10418" w:rsidRPr="00BA4749">
        <w:rPr>
          <w:rFonts w:ascii="Times New Roman" w:hAnsi="Times New Roman" w:cs="Times New Roman"/>
        </w:rPr>
        <w:t>Every teacher may participate in other communities while serving as chairperson but may not serve as the chairperson of another community.</w:t>
      </w:r>
    </w:p>
    <w:p w14:paraId="2194683E" w14:textId="6AE2F9F4" w:rsidR="00D10418" w:rsidRPr="00BA4749" w:rsidRDefault="00D10418"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3</w:t>
      </w:r>
      <w:r w:rsidRPr="00BA4749">
        <w:rPr>
          <w:rFonts w:ascii="Times New Roman" w:hAnsi="Times New Roman" w:cs="Times New Roman"/>
        </w:rPr>
        <w:tab/>
      </w:r>
      <w:r w:rsidR="00CE6B6C" w:rsidRPr="00BA4749">
        <w:rPr>
          <w:rFonts w:ascii="Times New Roman" w:hAnsi="Times New Roman" w:cs="Times New Roman"/>
        </w:rPr>
        <w:t>The chairperson shall apply to the Center for Teaching and Learning Development</w:t>
      </w:r>
      <w:r w:rsidR="00CE6B6C" w:rsidRPr="00BA4749">
        <w:rPr>
          <w:rFonts w:ascii="Times New Roman" w:hAnsi="Times New Roman" w:cs="Times New Roman" w:hint="eastAsia"/>
        </w:rPr>
        <w:t xml:space="preserve"> </w:t>
      </w:r>
      <w:r w:rsidR="00CE6B6C" w:rsidRPr="00BA4749">
        <w:rPr>
          <w:rFonts w:ascii="Times New Roman" w:hAnsi="Times New Roman" w:cs="Times New Roman"/>
        </w:rPr>
        <w:t xml:space="preserve">(hereinafter referred to as CTLD) to establish a professional learning community and submit a community application form that discloses the community’s </w:t>
      </w:r>
      <w:r w:rsidR="002A6147" w:rsidRPr="00BA4749">
        <w:rPr>
          <w:rFonts w:ascii="Times New Roman" w:hAnsi="Times New Roman" w:cs="Times New Roman"/>
        </w:rPr>
        <w:t xml:space="preserve">activity </w:t>
      </w:r>
      <w:r w:rsidR="00CE6B6C" w:rsidRPr="00BA4749">
        <w:rPr>
          <w:rFonts w:ascii="Times New Roman" w:hAnsi="Times New Roman" w:cs="Times New Roman"/>
        </w:rPr>
        <w:t>and budget</w:t>
      </w:r>
      <w:r w:rsidR="00A8147F" w:rsidRPr="00BA4749">
        <w:t xml:space="preserve"> </w:t>
      </w:r>
      <w:r w:rsidR="00A8147F" w:rsidRPr="00BA4749">
        <w:rPr>
          <w:rFonts w:ascii="Times New Roman" w:hAnsi="Times New Roman" w:cs="Times New Roman"/>
        </w:rPr>
        <w:t>plans</w:t>
      </w:r>
      <w:r w:rsidR="00CE6B6C" w:rsidRPr="00BA4749">
        <w:rPr>
          <w:rFonts w:ascii="Times New Roman" w:hAnsi="Times New Roman" w:cs="Times New Roman"/>
        </w:rPr>
        <w:t xml:space="preserve">. Upon receiving the application, CTLD shall forward the application to the relevant committees for review. </w:t>
      </w:r>
    </w:p>
    <w:p w14:paraId="55FDEC29" w14:textId="209BF775" w:rsidR="00B17FA4" w:rsidRPr="00BA4749" w:rsidRDefault="00CE6B6C"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4</w:t>
      </w:r>
      <w:r w:rsidRPr="00BA4749">
        <w:rPr>
          <w:rFonts w:ascii="Times New Roman" w:hAnsi="Times New Roman" w:cs="Times New Roman"/>
        </w:rPr>
        <w:tab/>
      </w:r>
      <w:r w:rsidR="002B68EA" w:rsidRPr="00BA4749">
        <w:rPr>
          <w:rFonts w:ascii="Times New Roman" w:hAnsi="Times New Roman" w:cs="Times New Roman"/>
        </w:rPr>
        <w:t xml:space="preserve">Professional learning communities focused on improving teachers’ English-medium instruction (EMI) abilities shall submit their application </w:t>
      </w:r>
      <w:r w:rsidR="00497F3D" w:rsidRPr="00BA4749">
        <w:rPr>
          <w:rFonts w:ascii="Times New Roman" w:hAnsi="Times New Roman" w:cs="Times New Roman"/>
        </w:rPr>
        <w:t xml:space="preserve">to the NTUST Office of Bilingual Initiatives </w:t>
      </w:r>
      <w:r w:rsidR="002B68EA" w:rsidRPr="00BA4749">
        <w:rPr>
          <w:rFonts w:ascii="Times New Roman" w:hAnsi="Times New Roman" w:cs="Times New Roman"/>
        </w:rPr>
        <w:t xml:space="preserve">in accordance with the </w:t>
      </w:r>
      <w:r w:rsidR="00A8147F" w:rsidRPr="00BA4749">
        <w:rPr>
          <w:rFonts w:ascii="Times New Roman" w:hAnsi="Times New Roman" w:cs="Times New Roman"/>
        </w:rPr>
        <w:t>National Taiwan University of Science and Technology</w:t>
      </w:r>
      <w:r w:rsidR="002B68EA" w:rsidRPr="00BA4749">
        <w:rPr>
          <w:rFonts w:ascii="Times New Roman" w:hAnsi="Times New Roman" w:cs="Times New Roman"/>
        </w:rPr>
        <w:t xml:space="preserve"> Regulations for Establishing EMI Professional Learning Communities</w:t>
      </w:r>
      <w:r w:rsidR="00497F3D" w:rsidRPr="00BA4749">
        <w:rPr>
          <w:rFonts w:ascii="Times New Roman" w:hAnsi="Times New Roman" w:cs="Times New Roman"/>
        </w:rPr>
        <w:t xml:space="preserve"> for Teachers.</w:t>
      </w:r>
    </w:p>
    <w:p w14:paraId="0C73F405" w14:textId="61581015" w:rsidR="00497F3D" w:rsidRPr="00BA4749" w:rsidRDefault="00497F3D"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5</w:t>
      </w:r>
      <w:r w:rsidRPr="00BA4749">
        <w:rPr>
          <w:rFonts w:ascii="Times New Roman" w:hAnsi="Times New Roman" w:cs="Times New Roman"/>
        </w:rPr>
        <w:tab/>
      </w:r>
      <w:r w:rsidR="002A6147" w:rsidRPr="00BA4749">
        <w:rPr>
          <w:rFonts w:ascii="Times New Roman" w:hAnsi="Times New Roman" w:cs="Times New Roman"/>
        </w:rPr>
        <w:t xml:space="preserve">The execution period of community activities is based on the year. Activities may include teaching observations, roundtable discussions, and other teacher growth plans that advance pedagogical competence or innovation and may be in the form of book clubs, practical seminars, teaching material development, and micro seminars. Each community must hold at least four gatherings during the execution period. </w:t>
      </w:r>
    </w:p>
    <w:p w14:paraId="34DC1C50" w14:textId="74BDAEAA" w:rsidR="002A6147" w:rsidRPr="00BA4749" w:rsidRDefault="002A6147"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6</w:t>
      </w:r>
      <w:r w:rsidRPr="00BA4749">
        <w:rPr>
          <w:rFonts w:ascii="Times New Roman" w:hAnsi="Times New Roman" w:cs="Times New Roman"/>
        </w:rPr>
        <w:tab/>
        <w:t xml:space="preserve">Each community shall receive </w:t>
      </w:r>
      <w:r w:rsidR="00CB03F4">
        <w:rPr>
          <w:rFonts w:ascii="Times New Roman" w:hAnsi="Times New Roman" w:cs="Times New Roman"/>
        </w:rPr>
        <w:t>at most</w:t>
      </w:r>
      <w:r w:rsidRPr="00BA4749">
        <w:rPr>
          <w:rFonts w:ascii="Times New Roman" w:hAnsi="Times New Roman" w:cs="Times New Roman"/>
        </w:rPr>
        <w:t xml:space="preserve"> NT $50,000 in activity subsidies, which are limited to business expenses used to pay for community operations and activities. </w:t>
      </w:r>
      <w:r w:rsidR="00B25F59" w:rsidRPr="00BA4749">
        <w:rPr>
          <w:rFonts w:ascii="Times New Roman" w:hAnsi="Times New Roman" w:cs="Times New Roman"/>
        </w:rPr>
        <w:t xml:space="preserve">Expenses shall be claimed in accordance with guidelines for handling government expenditure vouchers, and the number and quantity of subsidies shall be determined by the year’s budget. </w:t>
      </w:r>
    </w:p>
    <w:p w14:paraId="02924EEE" w14:textId="537D4FEC" w:rsidR="00B25F59" w:rsidRPr="00BA4749" w:rsidRDefault="00B25F59"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lastRenderedPageBreak/>
        <w:t>Article 7</w:t>
      </w:r>
      <w:r w:rsidRPr="00BA4749">
        <w:rPr>
          <w:rFonts w:ascii="Times New Roman" w:hAnsi="Times New Roman" w:cs="Times New Roman"/>
        </w:rPr>
        <w:tab/>
        <w:t xml:space="preserve">A community that received subsidies shall submit a physical and electronic copy of an activity report within a month after the end of the subsidy period. The community </w:t>
      </w:r>
      <w:r w:rsidR="00A8147F" w:rsidRPr="00BA4749">
        <w:rPr>
          <w:rFonts w:ascii="Times New Roman" w:hAnsi="Times New Roman" w:cs="Times New Roman" w:hint="eastAsia"/>
        </w:rPr>
        <w:t xml:space="preserve">may </w:t>
      </w:r>
      <w:r w:rsidRPr="00BA4749">
        <w:rPr>
          <w:rFonts w:ascii="Times New Roman" w:hAnsi="Times New Roman" w:cs="Times New Roman"/>
        </w:rPr>
        <w:t>continue to apply for subsidies, but the reapplication shall be reviewed according to their reports and state of community operations.</w:t>
      </w:r>
    </w:p>
    <w:p w14:paraId="59BFCCD4" w14:textId="31EA0919" w:rsidR="00B25F59" w:rsidRPr="00BA4749" w:rsidRDefault="00B25F59"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8</w:t>
      </w:r>
      <w:r w:rsidRPr="00BA4749">
        <w:rPr>
          <w:rFonts w:ascii="Times New Roman" w:hAnsi="Times New Roman" w:cs="Times New Roman"/>
        </w:rPr>
        <w:tab/>
      </w:r>
      <w:r w:rsidR="00C87BBA" w:rsidRPr="00BA4749">
        <w:rPr>
          <w:rFonts w:ascii="Times New Roman" w:hAnsi="Times New Roman" w:cs="Times New Roman"/>
        </w:rPr>
        <w:t>Members of a community receiving subsidies shall cooperat</w:t>
      </w:r>
      <w:r w:rsidR="00CB03F4">
        <w:rPr>
          <w:rFonts w:ascii="Times New Roman" w:hAnsi="Times New Roman" w:cs="Times New Roman"/>
        </w:rPr>
        <w:t>e</w:t>
      </w:r>
      <w:r w:rsidR="00C87BBA" w:rsidRPr="00BA4749">
        <w:rPr>
          <w:rFonts w:ascii="Times New Roman" w:hAnsi="Times New Roman" w:cs="Times New Roman"/>
        </w:rPr>
        <w:t xml:space="preserve"> with activities organized by the CTLD to share community achievements; the CTLD may also promote information about community operations for nonprofit or teaching development purposes. </w:t>
      </w:r>
    </w:p>
    <w:p w14:paraId="685B873D" w14:textId="1407C07E" w:rsidR="00C87BBA" w:rsidRPr="00BA4749" w:rsidRDefault="00C87BBA"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9</w:t>
      </w:r>
      <w:r w:rsidRPr="00BA4749">
        <w:rPr>
          <w:rFonts w:ascii="Times New Roman" w:hAnsi="Times New Roman" w:cs="Times New Roman"/>
        </w:rPr>
        <w:tab/>
        <w:t xml:space="preserve">These Regulations shall be funded by budgets approved by the Ministry of Education or self-generated income from the university endowment fund. </w:t>
      </w:r>
    </w:p>
    <w:p w14:paraId="6C660387" w14:textId="1A711A0C" w:rsidR="00C87BBA" w:rsidRPr="00DF55FE" w:rsidRDefault="00C87BBA" w:rsidP="0028639E">
      <w:pPr>
        <w:spacing w:line="319" w:lineRule="auto"/>
        <w:ind w:left="992" w:hanging="1009"/>
        <w:jc w:val="both"/>
        <w:rPr>
          <w:rFonts w:ascii="Times New Roman" w:hAnsi="Times New Roman" w:cs="Times New Roman"/>
        </w:rPr>
      </w:pPr>
      <w:r w:rsidRPr="00BA4749">
        <w:rPr>
          <w:rFonts w:ascii="Times New Roman" w:hAnsi="Times New Roman" w:cs="Times New Roman"/>
        </w:rPr>
        <w:t>Article 10</w:t>
      </w:r>
      <w:r w:rsidRPr="00BA4749">
        <w:rPr>
          <w:rFonts w:ascii="Times New Roman" w:hAnsi="Times New Roman" w:cs="Times New Roman"/>
        </w:rPr>
        <w:tab/>
        <w:t xml:space="preserve">These regulations and any amendments thereto shall be promulgated once passed </w:t>
      </w:r>
      <w:r w:rsidR="00A8147F" w:rsidRPr="00BA4749">
        <w:rPr>
          <w:rFonts w:ascii="Times New Roman" w:hAnsi="Times New Roman" w:cs="Times New Roman" w:hint="eastAsia"/>
        </w:rPr>
        <w:t>at</w:t>
      </w:r>
      <w:r w:rsidR="00A8147F" w:rsidRPr="00BA4749">
        <w:rPr>
          <w:rFonts w:ascii="Times New Roman" w:hAnsi="Times New Roman" w:cs="Times New Roman"/>
        </w:rPr>
        <w:t xml:space="preserve"> </w:t>
      </w:r>
      <w:r w:rsidRPr="00BA4749">
        <w:rPr>
          <w:rFonts w:ascii="Times New Roman" w:hAnsi="Times New Roman" w:cs="Times New Roman"/>
        </w:rPr>
        <w:t>the Administrative Meeting.</w:t>
      </w:r>
      <w:r>
        <w:rPr>
          <w:rFonts w:ascii="Times New Roman" w:hAnsi="Times New Roman" w:cs="Times New Roman"/>
        </w:rPr>
        <w:t xml:space="preserve"> </w:t>
      </w:r>
    </w:p>
    <w:p w14:paraId="502972B5" w14:textId="5EFB5CB7" w:rsidR="00B17FA4" w:rsidRPr="00DF55FE" w:rsidRDefault="00B17FA4">
      <w:pPr>
        <w:spacing w:line="259" w:lineRule="auto"/>
        <w:ind w:left="-15" w:firstLine="0"/>
        <w:rPr>
          <w:rFonts w:ascii="Times New Roman" w:hAnsi="Times New Roman" w:cs="Times New Roman"/>
        </w:rPr>
      </w:pPr>
    </w:p>
    <w:sectPr w:rsidR="00B17FA4" w:rsidRPr="00DF55FE" w:rsidSect="0028639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FFE7" w14:textId="77777777" w:rsidR="00B052BF" w:rsidRDefault="00B052BF" w:rsidP="004D0F5F">
      <w:pPr>
        <w:spacing w:after="0" w:line="240" w:lineRule="auto"/>
      </w:pPr>
      <w:r>
        <w:separator/>
      </w:r>
    </w:p>
  </w:endnote>
  <w:endnote w:type="continuationSeparator" w:id="0">
    <w:p w14:paraId="303A393D" w14:textId="77777777" w:rsidR="00B052BF" w:rsidRDefault="00B052BF" w:rsidP="004D0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B">
    <w:altName w:val="Microsoft YaHei"/>
    <w:panose1 w:val="03000509000000000000"/>
    <w:charset w:val="88"/>
    <w:family w:val="script"/>
    <w:pitch w:val="fixed"/>
    <w:sig w:usb0="F1002BFF" w:usb1="29DFFFFF" w:usb2="00000037" w:usb3="00000000" w:csb0="001000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29EFB" w14:textId="77777777" w:rsidR="00B052BF" w:rsidRDefault="00B052BF" w:rsidP="004D0F5F">
      <w:pPr>
        <w:spacing w:after="0" w:line="240" w:lineRule="auto"/>
      </w:pPr>
      <w:r>
        <w:separator/>
      </w:r>
    </w:p>
  </w:footnote>
  <w:footnote w:type="continuationSeparator" w:id="0">
    <w:p w14:paraId="2C95BD6F" w14:textId="77777777" w:rsidR="00B052BF" w:rsidRDefault="00B052BF" w:rsidP="004D0F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25308"/>
    <w:multiLevelType w:val="hybridMultilevel"/>
    <w:tmpl w:val="22EE48D8"/>
    <w:lvl w:ilvl="0" w:tplc="112AEED4">
      <w:start w:val="110"/>
      <w:numFmt w:val="decimal"/>
      <w:lvlText w:val="%1"/>
      <w:lvlJc w:val="left"/>
      <w:pPr>
        <w:ind w:left="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C810B8">
      <w:start w:val="1"/>
      <w:numFmt w:val="lowerLetter"/>
      <w:lvlText w:val="%2"/>
      <w:lvlJc w:val="left"/>
      <w:pPr>
        <w:ind w:left="5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F0A05C">
      <w:start w:val="1"/>
      <w:numFmt w:val="lowerRoman"/>
      <w:lvlText w:val="%3"/>
      <w:lvlJc w:val="left"/>
      <w:pPr>
        <w:ind w:left="5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D684DA">
      <w:start w:val="1"/>
      <w:numFmt w:val="decimal"/>
      <w:lvlText w:val="%4"/>
      <w:lvlJc w:val="left"/>
      <w:pPr>
        <w:ind w:left="6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4518A">
      <w:start w:val="1"/>
      <w:numFmt w:val="lowerLetter"/>
      <w:lvlText w:val="%5"/>
      <w:lvlJc w:val="left"/>
      <w:pPr>
        <w:ind w:left="7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E40768">
      <w:start w:val="1"/>
      <w:numFmt w:val="lowerRoman"/>
      <w:lvlText w:val="%6"/>
      <w:lvlJc w:val="left"/>
      <w:pPr>
        <w:ind w:left="8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DE5898">
      <w:start w:val="1"/>
      <w:numFmt w:val="decimal"/>
      <w:lvlText w:val="%7"/>
      <w:lvlJc w:val="left"/>
      <w:pPr>
        <w:ind w:left="8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38C9C8">
      <w:start w:val="1"/>
      <w:numFmt w:val="lowerLetter"/>
      <w:lvlText w:val="%8"/>
      <w:lvlJc w:val="left"/>
      <w:pPr>
        <w:ind w:left="9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9EAC78">
      <w:start w:val="1"/>
      <w:numFmt w:val="lowerRoman"/>
      <w:lvlText w:val="%9"/>
      <w:lvlJc w:val="left"/>
      <w:pPr>
        <w:ind w:left="10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53101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2"/>
  <w:bordersDoNotSurroundHeader/>
  <w:bordersDoNotSurroundFooter/>
  <w:proofState w:spelling="clean" w:grammar="clean"/>
  <w:defaultTabStop w:val="48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A4"/>
    <w:rsid w:val="00146BB4"/>
    <w:rsid w:val="0028639E"/>
    <w:rsid w:val="002A6147"/>
    <w:rsid w:val="002B68EA"/>
    <w:rsid w:val="00353EBC"/>
    <w:rsid w:val="00357B6C"/>
    <w:rsid w:val="00360636"/>
    <w:rsid w:val="0043113A"/>
    <w:rsid w:val="00497F3D"/>
    <w:rsid w:val="004C3CA2"/>
    <w:rsid w:val="004D0F5F"/>
    <w:rsid w:val="005A3CFE"/>
    <w:rsid w:val="006A4C76"/>
    <w:rsid w:val="006A68A9"/>
    <w:rsid w:val="006E3660"/>
    <w:rsid w:val="006F21D8"/>
    <w:rsid w:val="0072678B"/>
    <w:rsid w:val="00766738"/>
    <w:rsid w:val="00793038"/>
    <w:rsid w:val="007D7F81"/>
    <w:rsid w:val="00805B38"/>
    <w:rsid w:val="00807D8F"/>
    <w:rsid w:val="00845160"/>
    <w:rsid w:val="0088135A"/>
    <w:rsid w:val="008B07CC"/>
    <w:rsid w:val="009D02A0"/>
    <w:rsid w:val="00A7276E"/>
    <w:rsid w:val="00A8147F"/>
    <w:rsid w:val="00AE2EB0"/>
    <w:rsid w:val="00B016F8"/>
    <w:rsid w:val="00B052BF"/>
    <w:rsid w:val="00B17FA4"/>
    <w:rsid w:val="00B25F59"/>
    <w:rsid w:val="00BA4749"/>
    <w:rsid w:val="00C87BBA"/>
    <w:rsid w:val="00CB03F4"/>
    <w:rsid w:val="00CE6B6C"/>
    <w:rsid w:val="00CF1572"/>
    <w:rsid w:val="00D10418"/>
    <w:rsid w:val="00D93553"/>
    <w:rsid w:val="00DF55FE"/>
    <w:rsid w:val="00E0119F"/>
    <w:rsid w:val="00ED679A"/>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D90A"/>
  <w15:docId w15:val="{F012543E-4C93-4271-BA09-DAACE05F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320" w:lineRule="auto"/>
      <w:ind w:left="836" w:hanging="836"/>
    </w:pPr>
    <w:rPr>
      <w:rFonts w:ascii="DFKai-SB" w:eastAsia="DFKai-SB" w:hAnsi="DFKai-SB" w:cs="DFKai-S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0F5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4D0F5F"/>
    <w:rPr>
      <w:rFonts w:ascii="DFKai-SB" w:eastAsia="DFKai-SB" w:hAnsi="DFKai-SB" w:cs="DFKai-SB"/>
      <w:color w:val="000000"/>
      <w:sz w:val="20"/>
      <w:szCs w:val="20"/>
    </w:rPr>
  </w:style>
  <w:style w:type="paragraph" w:styleId="Footer">
    <w:name w:val="footer"/>
    <w:basedOn w:val="Normal"/>
    <w:link w:val="FooterChar"/>
    <w:uiPriority w:val="99"/>
    <w:unhideWhenUsed/>
    <w:rsid w:val="004D0F5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4D0F5F"/>
    <w:rPr>
      <w:rFonts w:ascii="DFKai-SB" w:eastAsia="DFKai-SB" w:hAnsi="DFKai-SB" w:cs="DFKai-SB"/>
      <w:color w:val="000000"/>
      <w:sz w:val="20"/>
      <w:szCs w:val="20"/>
    </w:rPr>
  </w:style>
  <w:style w:type="character" w:styleId="CommentReference">
    <w:name w:val="annotation reference"/>
    <w:basedOn w:val="DefaultParagraphFont"/>
    <w:uiPriority w:val="99"/>
    <w:semiHidden/>
    <w:unhideWhenUsed/>
    <w:rsid w:val="00DF55FE"/>
    <w:rPr>
      <w:sz w:val="18"/>
      <w:szCs w:val="18"/>
    </w:rPr>
  </w:style>
  <w:style w:type="paragraph" w:styleId="CommentText">
    <w:name w:val="annotation text"/>
    <w:basedOn w:val="Normal"/>
    <w:link w:val="CommentTextChar"/>
    <w:uiPriority w:val="99"/>
    <w:semiHidden/>
    <w:unhideWhenUsed/>
    <w:rsid w:val="00DF55FE"/>
  </w:style>
  <w:style w:type="character" w:customStyle="1" w:styleId="CommentTextChar">
    <w:name w:val="Comment Text Char"/>
    <w:basedOn w:val="DefaultParagraphFont"/>
    <w:link w:val="CommentText"/>
    <w:uiPriority w:val="99"/>
    <w:semiHidden/>
    <w:rsid w:val="00DF55FE"/>
    <w:rPr>
      <w:rFonts w:ascii="DFKai-SB" w:eastAsia="DFKai-SB" w:hAnsi="DFKai-SB" w:cs="DFKai-SB"/>
      <w:color w:val="000000"/>
    </w:rPr>
  </w:style>
  <w:style w:type="paragraph" w:styleId="CommentSubject">
    <w:name w:val="annotation subject"/>
    <w:basedOn w:val="CommentText"/>
    <w:next w:val="CommentText"/>
    <w:link w:val="CommentSubjectChar"/>
    <w:uiPriority w:val="99"/>
    <w:semiHidden/>
    <w:unhideWhenUsed/>
    <w:rsid w:val="00DF55FE"/>
    <w:rPr>
      <w:b/>
      <w:bCs/>
    </w:rPr>
  </w:style>
  <w:style w:type="character" w:customStyle="1" w:styleId="CommentSubjectChar">
    <w:name w:val="Comment Subject Char"/>
    <w:basedOn w:val="CommentTextChar"/>
    <w:link w:val="CommentSubject"/>
    <w:uiPriority w:val="99"/>
    <w:semiHidden/>
    <w:rsid w:val="00DF55FE"/>
    <w:rPr>
      <w:rFonts w:ascii="DFKai-SB" w:eastAsia="DFKai-SB" w:hAnsi="DFKai-SB" w:cs="DFKai-SB"/>
      <w:b/>
      <w:bCs/>
      <w:color w:val="000000"/>
    </w:rPr>
  </w:style>
  <w:style w:type="character" w:styleId="Hyperlink">
    <w:name w:val="Hyperlink"/>
    <w:basedOn w:val="DefaultParagraphFont"/>
    <w:uiPriority w:val="99"/>
    <w:unhideWhenUsed/>
    <w:rsid w:val="00DF55FE"/>
    <w:rPr>
      <w:color w:val="0563C1" w:themeColor="hyperlink"/>
      <w:u w:val="single"/>
    </w:rPr>
  </w:style>
  <w:style w:type="character" w:styleId="UnresolvedMention">
    <w:name w:val="Unresolved Mention"/>
    <w:basedOn w:val="DefaultParagraphFont"/>
    <w:uiPriority w:val="99"/>
    <w:semiHidden/>
    <w:unhideWhenUsed/>
    <w:rsid w:val="00DF55FE"/>
    <w:rPr>
      <w:color w:val="605E5C"/>
      <w:shd w:val="clear" w:color="auto" w:fill="E1DFDD"/>
    </w:rPr>
  </w:style>
  <w:style w:type="paragraph" w:styleId="Revision">
    <w:name w:val="Revision"/>
    <w:hidden/>
    <w:uiPriority w:val="99"/>
    <w:semiHidden/>
    <w:rsid w:val="00357B6C"/>
    <w:rPr>
      <w:rFonts w:ascii="DFKai-SB" w:eastAsia="DFKai-SB" w:hAnsi="DFKai-SB" w:cs="DFKai-S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611</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cp:lastModifiedBy>Microsoft Office User</cp:lastModifiedBy>
  <cp:revision>7</cp:revision>
  <dcterms:created xsi:type="dcterms:W3CDTF">2024-09-20T16:11:00Z</dcterms:created>
  <dcterms:modified xsi:type="dcterms:W3CDTF">2024-10-30T08:19:00Z</dcterms:modified>
</cp:coreProperties>
</file>