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344C" w14:textId="0588E2AC" w:rsidR="00CA0616" w:rsidRPr="00152924" w:rsidRDefault="00D174CC">
      <w:pPr>
        <w:spacing w:after="0"/>
        <w:ind w:right="212"/>
        <w:jc w:val="center"/>
        <w:rPr>
          <w:rFonts w:asciiTheme="majorBidi" w:hAnsiTheme="majorBidi" w:cstheme="majorBidi"/>
          <w:b/>
          <w:bCs/>
        </w:rPr>
      </w:pPr>
      <w:r w:rsidRPr="00152924">
        <w:rPr>
          <w:rFonts w:asciiTheme="majorBidi" w:eastAsia="DFKai-SB" w:hAnsiTheme="majorBidi" w:cstheme="majorBidi"/>
          <w:b/>
          <w:bCs/>
          <w:sz w:val="32"/>
        </w:rPr>
        <w:t>National Taiwan University of Science and Technology Regulations for Subsidizing New Faculty Members in Initiating Teaching and Research</w:t>
      </w:r>
      <w:r w:rsidR="00295033" w:rsidRPr="00152924">
        <w:rPr>
          <w:rFonts w:asciiTheme="majorBidi" w:eastAsia="DFKai-SB" w:hAnsiTheme="majorBidi" w:cstheme="majorBidi"/>
          <w:b/>
          <w:bCs/>
          <w:sz w:val="32"/>
        </w:rPr>
        <w:t xml:space="preserve"> </w:t>
      </w:r>
    </w:p>
    <w:p w14:paraId="631FFE88" w14:textId="13E97BE8" w:rsidR="00CA0616" w:rsidRPr="00285C2A" w:rsidRDefault="007974B7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at the 426th Administrative Meeting on June 10, 2005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D7486B7" w14:textId="51ED23B6" w:rsidR="00CA0616" w:rsidRPr="00285C2A" w:rsidRDefault="007974B7" w:rsidP="007974B7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University Endowment Fund Management Committee on December 7, 2007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A60F61E" w14:textId="5CFB5AD0" w:rsidR="00CA0616" w:rsidRPr="00285C2A" w:rsidRDefault="00A24F74" w:rsidP="00A24F74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461st Administrative Meeting and by the University Endowment Fund Management Committee</w:t>
      </w:r>
      <w:r w:rsidRPr="00285C2A">
        <w:rPr>
          <w:rFonts w:asciiTheme="majorBidi" w:hAnsiTheme="majorBidi" w:cstheme="majorBidi"/>
        </w:rPr>
        <w:t xml:space="preserve"> </w:t>
      </w:r>
      <w:r w:rsidRPr="00285C2A">
        <w:rPr>
          <w:rFonts w:asciiTheme="majorBidi" w:eastAsia="DFKai-SB" w:hAnsiTheme="majorBidi" w:cstheme="majorBidi"/>
          <w:sz w:val="18"/>
        </w:rPr>
        <w:t xml:space="preserve">on June 20, 2008 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4CEBC5B" w14:textId="4D7C066F" w:rsidR="00CA0616" w:rsidRPr="00285C2A" w:rsidRDefault="00A24F74" w:rsidP="00A24F74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Ministry of Education, Document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 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285C2A">
        <w:rPr>
          <w:rFonts w:asciiTheme="majorBidi" w:eastAsia="DFKai-SB" w:hAnsiTheme="majorBidi" w:cstheme="majorBidi"/>
          <w:sz w:val="18"/>
        </w:rPr>
        <w:t xml:space="preserve"> No. 0970205816, on November 4, 2008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A1CD8A3" w14:textId="18C32A27" w:rsidR="00CA0616" w:rsidRPr="00285C2A" w:rsidRDefault="00A24F74" w:rsidP="00C03DAD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Amendments to Articles 3 and 4 approved at the 468th Administrative Meeting on February 20,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FAF9611" w14:textId="158CCB20" w:rsidR="00CA0616" w:rsidRPr="00285C2A" w:rsidRDefault="00C03DAD">
      <w:pPr>
        <w:spacing w:after="0"/>
        <w:ind w:left="10" w:right="76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by the University Endowment Fund Management Committee on April 16,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6E1CF47F" w14:textId="2A0FB3FB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 xml:space="preserve">Approved by the Ministry of Education, Document </w:t>
      </w:r>
      <w:r w:rsidRPr="00F52ECE">
        <w:rPr>
          <w:rFonts w:asciiTheme="majorBidi" w:eastAsia="DFKai-SB" w:hAnsiTheme="majorBidi" w:cstheme="majorBidi"/>
          <w:i/>
          <w:iCs/>
          <w:sz w:val="18"/>
        </w:rPr>
        <w:t>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 </w:t>
      </w:r>
      <w:r w:rsidRPr="00285C2A">
        <w:rPr>
          <w:rFonts w:asciiTheme="majorBidi" w:eastAsia="DFKai-SB" w:hAnsiTheme="majorBidi" w:cstheme="majorBidi"/>
          <w:sz w:val="18"/>
        </w:rPr>
        <w:t>No. 0980067755, on May 11,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67DCA2AC" w14:textId="50213686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470th Administrative Meeting on May 15,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659881D" w14:textId="286EBDBE" w:rsidR="00CA0616" w:rsidRPr="00285C2A" w:rsidRDefault="00C03DAD">
      <w:pPr>
        <w:spacing w:after="0"/>
        <w:ind w:left="10" w:right="76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University Endowment Fund Management Committee on June 16,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03C77C08" w14:textId="37786DFD" w:rsidR="00CA0616" w:rsidRPr="00285C2A" w:rsidRDefault="00C03DAD" w:rsidP="00C03DAD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 xml:space="preserve">Approved by the Ministry of Education, Document </w:t>
      </w:r>
      <w:r w:rsidRPr="00F52ECE">
        <w:rPr>
          <w:rFonts w:asciiTheme="majorBidi" w:eastAsia="DFKai-SB" w:hAnsiTheme="majorBidi" w:cstheme="majorBidi"/>
          <w:i/>
          <w:iCs/>
          <w:sz w:val="18"/>
        </w:rPr>
        <w:t>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285C2A">
        <w:rPr>
          <w:rFonts w:asciiTheme="majorBidi" w:eastAsia="DFKai-SB" w:hAnsiTheme="majorBidi" w:cstheme="majorBidi"/>
          <w:sz w:val="18"/>
        </w:rPr>
        <w:t xml:space="preserve"> No. 0980109083, on June 29,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6EDFAED" w14:textId="4D86601A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472nd Administrative Meeting on July 10,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42C01C88" w14:textId="4BE71BD4" w:rsidR="00CA0616" w:rsidRPr="00285C2A" w:rsidRDefault="000D65B3" w:rsidP="000D65B3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by the University Endowment Fund Management Committee on November 17,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F135D5A" w14:textId="5EAA8CA1" w:rsidR="00CA0616" w:rsidRPr="00285C2A" w:rsidRDefault="000D65B3" w:rsidP="000D65B3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481st Administrative Meeting on May 14, 2010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04F13EA2" w14:textId="61B941B0" w:rsidR="00CA0616" w:rsidRPr="00285C2A" w:rsidRDefault="000D65B3" w:rsidP="000D65B3">
      <w:pPr>
        <w:spacing w:after="0"/>
        <w:ind w:left="271" w:right="77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at the 483rd Administrative Meeting on September 10, 2010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35FC86C6" w14:textId="45AEA44B" w:rsidR="00CA0616" w:rsidRPr="00285C2A" w:rsidRDefault="007974B7" w:rsidP="00152924">
      <w:pPr>
        <w:spacing w:afterLines="100" w:after="240"/>
        <w:ind w:right="76"/>
        <w:jc w:val="right"/>
        <w:rPr>
          <w:rFonts w:asciiTheme="majorBidi" w:eastAsia="DFKai-SB" w:hAnsiTheme="majorBidi" w:cstheme="majorBidi"/>
          <w:sz w:val="18"/>
        </w:rPr>
      </w:pPr>
      <w:r w:rsidRPr="00285C2A">
        <w:rPr>
          <w:rFonts w:asciiTheme="majorBidi" w:eastAsia="DFKai-SB" w:hAnsiTheme="majorBidi" w:cstheme="majorBidi"/>
          <w:sz w:val="18"/>
        </w:rPr>
        <w:t>Approved at</w:t>
      </w:r>
      <w:r w:rsidR="00D174CC" w:rsidRPr="00285C2A">
        <w:rPr>
          <w:rFonts w:asciiTheme="majorBidi" w:eastAsia="DFKai-SB" w:hAnsiTheme="majorBidi" w:cstheme="majorBidi"/>
          <w:sz w:val="18"/>
        </w:rPr>
        <w:t xml:space="preserve"> the 597th Administrative Meeting on April 20, 2021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33CB1D11" w14:textId="210DEEED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1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>T</w:t>
      </w:r>
      <w:r w:rsidR="00285C2A" w:rsidRPr="00285C2A">
        <w:rPr>
          <w:rFonts w:asciiTheme="majorBidi" w:eastAsia="DFKai-SB" w:hAnsiTheme="majorBidi" w:cstheme="majorBidi"/>
          <w:sz w:val="24"/>
        </w:rPr>
        <w:t xml:space="preserve">hese regulations </w:t>
      </w:r>
      <w:r w:rsidR="00285C2A">
        <w:rPr>
          <w:rFonts w:asciiTheme="majorBidi" w:eastAsia="DFKai-SB" w:hAnsiTheme="majorBidi" w:cstheme="majorBidi" w:hint="eastAsia"/>
          <w:sz w:val="24"/>
        </w:rPr>
        <w:t>are established to</w:t>
      </w:r>
      <w:r w:rsidRPr="00285C2A">
        <w:rPr>
          <w:rFonts w:asciiTheme="majorBidi" w:eastAsia="DFKai-SB" w:hAnsiTheme="majorBidi" w:cstheme="majorBidi"/>
          <w:sz w:val="24"/>
        </w:rPr>
        <w:t xml:space="preserve"> assist new faculty members at </w:t>
      </w:r>
      <w:r w:rsidR="005C6641">
        <w:rPr>
          <w:rFonts w:asciiTheme="majorBidi" w:eastAsia="DFKai-SB" w:hAnsiTheme="majorBidi" w:cstheme="majorBidi"/>
          <w:sz w:val="24"/>
        </w:rPr>
        <w:t xml:space="preserve">the </w:t>
      </w:r>
      <w:r w:rsidRPr="00285C2A">
        <w:rPr>
          <w:rFonts w:asciiTheme="majorBidi" w:eastAsia="DFKai-SB" w:hAnsiTheme="majorBidi" w:cstheme="majorBidi"/>
          <w:sz w:val="24"/>
        </w:rPr>
        <w:t xml:space="preserve">National Taiwan University of Science and Technology (hereinafter referred to as </w:t>
      </w:r>
      <w:r w:rsidR="00285C2A" w:rsidRP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the University</w:t>
      </w:r>
      <w:r w:rsidR="00285C2A" w:rsidRPr="00285C2A">
        <w:rPr>
          <w:rFonts w:asciiTheme="majorBidi" w:eastAsia="DFKai-SB" w:hAnsiTheme="majorBidi" w:cstheme="majorBidi"/>
          <w:sz w:val="24"/>
        </w:rPr>
        <w:t>”)</w:t>
      </w:r>
      <w:r w:rsidRPr="00285C2A">
        <w:rPr>
          <w:rFonts w:asciiTheme="majorBidi" w:eastAsia="DFKai-SB" w:hAnsiTheme="majorBidi" w:cstheme="majorBidi"/>
          <w:sz w:val="24"/>
        </w:rPr>
        <w:t xml:space="preserve"> in effectively and efficiently initiating their teaching and research </w:t>
      </w:r>
      <w:r w:rsidR="00285C2A">
        <w:rPr>
          <w:rFonts w:asciiTheme="majorBidi" w:eastAsia="DFKai-SB" w:hAnsiTheme="majorBidi" w:cstheme="majorBidi" w:hint="eastAsia"/>
          <w:sz w:val="24"/>
        </w:rPr>
        <w:t>work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226E56D" w14:textId="610CB4FD" w:rsidR="00CA0616" w:rsidRPr="00285C2A" w:rsidRDefault="00DF63BF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DF63BF">
        <w:rPr>
          <w:rFonts w:asciiTheme="majorBidi" w:eastAsia="DFKai-SB" w:hAnsiTheme="majorBidi" w:cstheme="majorBidi"/>
          <w:sz w:val="24"/>
        </w:rPr>
        <w:t xml:space="preserve">Article 2 </w:t>
      </w:r>
      <w:r>
        <w:rPr>
          <w:rFonts w:asciiTheme="majorBidi" w:eastAsia="DFKai-SB" w:hAnsiTheme="majorBidi" w:cstheme="majorBidi"/>
          <w:sz w:val="24"/>
        </w:rPr>
        <w:t xml:space="preserve">  </w:t>
      </w:r>
      <w:r w:rsidRPr="00DF63BF">
        <w:rPr>
          <w:rFonts w:asciiTheme="majorBidi" w:eastAsia="DFKai-SB" w:hAnsiTheme="majorBidi" w:cstheme="majorBidi"/>
          <w:sz w:val="24"/>
        </w:rPr>
        <w:t>The term “new faculty members” as referred to in these regulations refers to full-time faculty members who have been in their positions for less than three years. Each faculty member is eligible to receive this subsidy only once.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93C4EAD" w14:textId="25DAA19D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3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To support new faculty members in effectively initiating their teaching and research work, the University may provide related funding, including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st</w:t>
      </w:r>
      <w:r w:rsidR="005E4579">
        <w:rPr>
          <w:rFonts w:asciiTheme="majorBidi" w:eastAsia="DFKai-SB" w:hAnsiTheme="majorBidi" w:cstheme="majorBidi"/>
          <w:sz w:val="24"/>
        </w:rPr>
        <w:t>art</w:t>
      </w:r>
      <w:r w:rsidRPr="00285C2A">
        <w:rPr>
          <w:rFonts w:asciiTheme="majorBidi" w:eastAsia="DFKai-SB" w:hAnsiTheme="majorBidi" w:cstheme="majorBidi"/>
          <w:sz w:val="24"/>
        </w:rPr>
        <w:t>up fund,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research initiation fund,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and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international collaboration research fund.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Applications can be submitted for either </w:t>
      </w:r>
      <w:r w:rsidR="00285C2A">
        <w:rPr>
          <w:rFonts w:asciiTheme="majorBidi" w:eastAsia="DFKai-SB" w:hAnsiTheme="majorBidi" w:cstheme="majorBidi" w:hint="eastAsia"/>
          <w:sz w:val="24"/>
        </w:rPr>
        <w:t xml:space="preserve">the </w:t>
      </w:r>
      <w:r w:rsidRPr="00285C2A">
        <w:rPr>
          <w:rFonts w:asciiTheme="majorBidi" w:eastAsia="DFKai-SB" w:hAnsiTheme="majorBidi" w:cstheme="majorBidi"/>
          <w:sz w:val="24"/>
        </w:rPr>
        <w:t>s</w:t>
      </w:r>
      <w:r w:rsidR="005E4579">
        <w:rPr>
          <w:rFonts w:asciiTheme="majorBidi" w:eastAsia="DFKai-SB" w:hAnsiTheme="majorBidi" w:cstheme="majorBidi"/>
          <w:sz w:val="24"/>
        </w:rPr>
        <w:t>tart</w:t>
      </w:r>
      <w:r w:rsidRPr="00285C2A">
        <w:rPr>
          <w:rFonts w:asciiTheme="majorBidi" w:eastAsia="DFKai-SB" w:hAnsiTheme="majorBidi" w:cstheme="majorBidi"/>
          <w:sz w:val="24"/>
        </w:rPr>
        <w:t>up fund or research initiation fund, but not both.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9A33903" w14:textId="57E7AC83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4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If a new faculty member opts for </w:t>
      </w:r>
      <w:r w:rsidR="005E4579">
        <w:rPr>
          <w:rFonts w:asciiTheme="majorBidi" w:eastAsia="DFKai-SB" w:hAnsiTheme="majorBidi" w:cstheme="majorBidi"/>
          <w:sz w:val="24"/>
        </w:rPr>
        <w:t xml:space="preserve">the </w:t>
      </w:r>
      <w:r w:rsidRPr="00285C2A">
        <w:rPr>
          <w:rFonts w:asciiTheme="majorBidi" w:eastAsia="DFKai-SB" w:hAnsiTheme="majorBidi" w:cstheme="majorBidi"/>
          <w:sz w:val="24"/>
        </w:rPr>
        <w:t>s</w:t>
      </w:r>
      <w:r w:rsidR="005E4579">
        <w:rPr>
          <w:rFonts w:asciiTheme="majorBidi" w:eastAsia="DFKai-SB" w:hAnsiTheme="majorBidi" w:cstheme="majorBidi"/>
          <w:sz w:val="24"/>
        </w:rPr>
        <w:t>tart</w:t>
      </w:r>
      <w:r w:rsidRPr="00285C2A">
        <w:rPr>
          <w:rFonts w:asciiTheme="majorBidi" w:eastAsia="DFKai-SB" w:hAnsiTheme="majorBidi" w:cstheme="majorBidi"/>
          <w:sz w:val="24"/>
        </w:rPr>
        <w:t>up fund, the University may provide a subsidy of up to NT$200,000, and no matching funds are required from the department.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07E8F357" w14:textId="15C2A0CB" w:rsidR="00D174CC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5</w:t>
      </w:r>
      <w:r w:rsidR="00A81FE5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New faculty members may submit short-, medium-, </w:t>
      </w:r>
      <w:r w:rsidR="00A81FE5">
        <w:rPr>
          <w:rFonts w:asciiTheme="majorBidi" w:eastAsia="DFKai-SB" w:hAnsiTheme="majorBidi" w:cstheme="majorBidi" w:hint="eastAsia"/>
          <w:sz w:val="24"/>
        </w:rPr>
        <w:t>or</w:t>
      </w:r>
      <w:r w:rsidRPr="00285C2A">
        <w:rPr>
          <w:rFonts w:asciiTheme="majorBidi" w:eastAsia="DFKai-SB" w:hAnsiTheme="majorBidi" w:cstheme="majorBidi"/>
          <w:sz w:val="24"/>
        </w:rPr>
        <w:t xml:space="preserve"> long-term teaching and research </w:t>
      </w:r>
      <w:r w:rsidR="00A81FE5">
        <w:rPr>
          <w:rFonts w:asciiTheme="majorBidi" w:eastAsia="DFKai-SB" w:hAnsiTheme="majorBidi" w:cstheme="majorBidi" w:hint="eastAsia"/>
          <w:sz w:val="24"/>
        </w:rPr>
        <w:t>proposal</w:t>
      </w:r>
      <w:r w:rsidR="00700D81">
        <w:rPr>
          <w:rFonts w:asciiTheme="majorBidi" w:eastAsia="DFKai-SB" w:hAnsiTheme="majorBidi" w:cstheme="majorBidi"/>
          <w:sz w:val="24"/>
        </w:rPr>
        <w:t>s</w:t>
      </w:r>
      <w:r w:rsidRPr="00285C2A">
        <w:rPr>
          <w:rFonts w:asciiTheme="majorBidi" w:eastAsia="DFKai-SB" w:hAnsiTheme="majorBidi" w:cstheme="majorBidi"/>
          <w:sz w:val="24"/>
        </w:rPr>
        <w:t xml:space="preserve">. Upon recommendation by their respective </w:t>
      </w:r>
      <w:r w:rsidR="00A81FE5">
        <w:rPr>
          <w:rFonts w:asciiTheme="majorBidi" w:eastAsia="DFKai-SB" w:hAnsiTheme="majorBidi" w:cstheme="majorBidi" w:hint="eastAsia"/>
          <w:sz w:val="24"/>
        </w:rPr>
        <w:t>department</w:t>
      </w:r>
      <w:r w:rsidRPr="00285C2A">
        <w:rPr>
          <w:rFonts w:asciiTheme="majorBidi" w:eastAsia="DFKai-SB" w:hAnsiTheme="majorBidi" w:cstheme="majorBidi"/>
          <w:sz w:val="24"/>
        </w:rPr>
        <w:t xml:space="preserve">s and approval through a selection process, they may receive a one-time </w:t>
      </w:r>
      <w:r w:rsidR="00A86EF3" w:rsidRPr="00A86EF3">
        <w:rPr>
          <w:rFonts w:asciiTheme="majorBidi" w:eastAsia="DFKai-SB" w:hAnsiTheme="majorBidi" w:cstheme="majorBidi"/>
          <w:sz w:val="24"/>
        </w:rPr>
        <w:t>research initiation fund</w:t>
      </w:r>
      <w:r w:rsidRPr="00285C2A">
        <w:rPr>
          <w:rFonts w:asciiTheme="majorBidi" w:eastAsia="DFKai-SB" w:hAnsiTheme="majorBidi" w:cstheme="majorBidi"/>
          <w:sz w:val="24"/>
        </w:rPr>
        <w:t xml:space="preserve">. New faculty members must apply for this </w:t>
      </w:r>
      <w:r w:rsidR="00A86EF3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 xml:space="preserve"> within two years of their appointment, and the granted fund must be utilized</w:t>
      </w:r>
      <w:r w:rsidR="005C6641">
        <w:rPr>
          <w:rFonts w:asciiTheme="majorBidi" w:eastAsia="DFKai-SB" w:hAnsiTheme="majorBidi" w:cstheme="majorBidi"/>
          <w:sz w:val="24"/>
        </w:rPr>
        <w:t>,</w:t>
      </w:r>
      <w:r w:rsidRPr="00285C2A">
        <w:rPr>
          <w:rFonts w:asciiTheme="majorBidi" w:eastAsia="DFKai-SB" w:hAnsiTheme="majorBidi" w:cstheme="majorBidi"/>
          <w:sz w:val="24"/>
        </w:rPr>
        <w:t xml:space="preserve"> and the project </w:t>
      </w:r>
      <w:r w:rsidR="005C6641">
        <w:rPr>
          <w:rFonts w:asciiTheme="majorBidi" w:eastAsia="DFKai-SB" w:hAnsiTheme="majorBidi" w:cstheme="majorBidi"/>
          <w:sz w:val="24"/>
        </w:rPr>
        <w:t xml:space="preserve">must be </w:t>
      </w:r>
      <w:r w:rsidRPr="00285C2A">
        <w:rPr>
          <w:rFonts w:asciiTheme="majorBidi" w:eastAsia="DFKai-SB" w:hAnsiTheme="majorBidi" w:cstheme="majorBidi"/>
          <w:sz w:val="24"/>
        </w:rPr>
        <w:t>completed within three years of their appointment.</w:t>
      </w:r>
    </w:p>
    <w:p w14:paraId="0E5F3D9B" w14:textId="63A18BD2" w:rsidR="00CA0616" w:rsidRPr="00152924" w:rsidRDefault="00D174CC" w:rsidP="00152924">
      <w:pPr>
        <w:spacing w:after="18" w:line="295" w:lineRule="auto"/>
        <w:ind w:left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 xml:space="preserve">The research initiation fund, as outlined in the preceding paragraph, </w:t>
      </w:r>
      <w:r w:rsidR="00A81FE5">
        <w:rPr>
          <w:rFonts w:asciiTheme="majorBidi" w:eastAsia="DFKai-SB" w:hAnsiTheme="majorBidi" w:cstheme="majorBidi" w:hint="eastAsia"/>
          <w:sz w:val="24"/>
        </w:rPr>
        <w:t>is</w:t>
      </w:r>
      <w:r w:rsidRPr="00285C2A">
        <w:rPr>
          <w:rFonts w:asciiTheme="majorBidi" w:eastAsia="DFKai-SB" w:hAnsiTheme="majorBidi" w:cstheme="majorBidi"/>
          <w:sz w:val="24"/>
        </w:rPr>
        <w:t xml:space="preserve"> approved based on the submitted proposal. </w:t>
      </w:r>
      <w:r w:rsidR="00A81FE5">
        <w:rPr>
          <w:rFonts w:asciiTheme="majorBidi" w:eastAsia="DFKai-SB" w:hAnsiTheme="majorBidi" w:cstheme="majorBidi" w:hint="eastAsia"/>
          <w:sz w:val="24"/>
        </w:rPr>
        <w:t>As a principle</w:t>
      </w:r>
      <w:r w:rsidRPr="00285C2A">
        <w:rPr>
          <w:rFonts w:asciiTheme="majorBidi" w:eastAsia="DFKai-SB" w:hAnsiTheme="majorBidi" w:cstheme="majorBidi"/>
          <w:sz w:val="24"/>
        </w:rPr>
        <w:t xml:space="preserve">, the University 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and </w:t>
      </w:r>
      <w:r w:rsidR="00A81FE5" w:rsidRPr="00A81FE5">
        <w:rPr>
          <w:rFonts w:asciiTheme="majorBidi" w:eastAsia="DFKai-SB" w:hAnsiTheme="majorBidi" w:cstheme="majorBidi"/>
          <w:sz w:val="24"/>
        </w:rPr>
        <w:t xml:space="preserve">the recommending department </w:t>
      </w:r>
      <w:r w:rsidR="00A81FE5">
        <w:rPr>
          <w:rFonts w:asciiTheme="majorBidi" w:eastAsia="DFKai-SB" w:hAnsiTheme="majorBidi" w:cstheme="majorBidi" w:hint="eastAsia"/>
          <w:sz w:val="24"/>
        </w:rPr>
        <w:t>shall</w:t>
      </w:r>
      <w:r w:rsidRPr="00285C2A">
        <w:rPr>
          <w:rFonts w:asciiTheme="majorBidi" w:eastAsia="DFKai-SB" w:hAnsiTheme="majorBidi" w:cstheme="majorBidi"/>
          <w:sz w:val="24"/>
        </w:rPr>
        <w:t xml:space="preserve"> cover three-fourths 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and one-fourth </w:t>
      </w:r>
      <w:r w:rsidRPr="00285C2A">
        <w:rPr>
          <w:rFonts w:asciiTheme="majorBidi" w:eastAsia="DFKai-SB" w:hAnsiTheme="majorBidi" w:cstheme="majorBidi"/>
          <w:sz w:val="24"/>
        </w:rPr>
        <w:t xml:space="preserve">of the </w:t>
      </w:r>
      <w:r w:rsidR="00A81FE5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>,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 respectively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6CB2192" w14:textId="6EE695DA" w:rsidR="00CA0616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6</w:t>
      </w:r>
      <w:r w:rsidR="00A81FE5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Applicants for international collaboration (exchange) research </w:t>
      </w:r>
      <w:r w:rsidR="00A86EF3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 xml:space="preserve"> must first apply for funding from the National Science Council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>s advanced study or international collaboration programs, the Ministry of Education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 xml:space="preserve">s </w:t>
      </w:r>
      <w:r w:rsidR="006C05BC">
        <w:rPr>
          <w:rFonts w:asciiTheme="majorBidi" w:eastAsia="DFKai-SB" w:hAnsiTheme="majorBidi" w:cstheme="majorBidi"/>
          <w:sz w:val="24"/>
        </w:rPr>
        <w:t>p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ublicly-funded </w:t>
      </w:r>
      <w:r w:rsidR="006C05BC">
        <w:rPr>
          <w:rFonts w:asciiTheme="majorBidi" w:eastAsia="DFKai-SB" w:hAnsiTheme="majorBidi" w:cstheme="majorBidi"/>
          <w:sz w:val="24"/>
        </w:rPr>
        <w:t>s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tudy </w:t>
      </w:r>
      <w:r w:rsidR="006C05BC">
        <w:rPr>
          <w:rFonts w:asciiTheme="majorBidi" w:eastAsia="DFKai-SB" w:hAnsiTheme="majorBidi" w:cstheme="majorBidi"/>
          <w:sz w:val="24"/>
        </w:rPr>
        <w:t>a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broad </w:t>
      </w:r>
      <w:r w:rsidR="006C05BC">
        <w:rPr>
          <w:rFonts w:asciiTheme="majorBidi" w:eastAsia="DFKai-SB" w:hAnsiTheme="majorBidi" w:cstheme="majorBidi"/>
          <w:sz w:val="24"/>
        </w:rPr>
        <w:t>e</w:t>
      </w:r>
      <w:r w:rsidR="001719C1" w:rsidRPr="001719C1">
        <w:rPr>
          <w:rFonts w:asciiTheme="majorBidi" w:eastAsia="DFKai-SB" w:hAnsiTheme="majorBidi" w:cstheme="majorBidi"/>
          <w:sz w:val="24"/>
        </w:rPr>
        <w:t>xam</w:t>
      </w:r>
      <w:r w:rsidR="006C05BC">
        <w:rPr>
          <w:rFonts w:asciiTheme="majorBidi" w:eastAsia="DFKai-SB" w:hAnsiTheme="majorBidi" w:cstheme="majorBidi"/>
          <w:sz w:val="24"/>
        </w:rPr>
        <w:t>ination</w:t>
      </w:r>
      <w:r w:rsidRPr="00285C2A">
        <w:rPr>
          <w:rFonts w:asciiTheme="majorBidi" w:eastAsia="DFKai-SB" w:hAnsiTheme="majorBidi" w:cstheme="majorBidi"/>
          <w:sz w:val="24"/>
        </w:rPr>
        <w:t>, or other potential funding programs. Additionally, applicants must specify the aspects in which the University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 xml:space="preserve">s support </w:t>
      </w:r>
      <w:r w:rsidR="00A86EF3">
        <w:rPr>
          <w:rFonts w:asciiTheme="majorBidi" w:eastAsia="DFKai-SB" w:hAnsiTheme="majorBidi" w:cstheme="majorBidi" w:hint="eastAsia"/>
          <w:sz w:val="24"/>
        </w:rPr>
        <w:t>may</w:t>
      </w:r>
      <w:r w:rsidRPr="00285C2A">
        <w:rPr>
          <w:rFonts w:asciiTheme="majorBidi" w:eastAsia="DFKai-SB" w:hAnsiTheme="majorBidi" w:cstheme="majorBidi"/>
          <w:sz w:val="24"/>
        </w:rPr>
        <w:t xml:space="preserve"> enhance these externally funded programs.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F0FC74E" w14:textId="77777777" w:rsidR="00152924" w:rsidRPr="00A81FE5" w:rsidRDefault="00152924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</w:p>
    <w:p w14:paraId="69D3DC11" w14:textId="04B027CC" w:rsidR="00CA0616" w:rsidRPr="00A86EF3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lastRenderedPageBreak/>
        <w:t>Article 7</w:t>
      </w:r>
      <w:r w:rsidR="00A86EF3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The evaluation of </w:t>
      </w:r>
      <w:r w:rsidR="008D5891">
        <w:rPr>
          <w:rFonts w:asciiTheme="majorBidi" w:eastAsia="DFKai-SB" w:hAnsiTheme="majorBidi" w:cstheme="majorBidi" w:hint="eastAsia"/>
          <w:sz w:val="24"/>
        </w:rPr>
        <w:t xml:space="preserve">applications for </w:t>
      </w:r>
      <w:r w:rsidRPr="00285C2A">
        <w:rPr>
          <w:rFonts w:asciiTheme="majorBidi" w:eastAsia="DFKai-SB" w:hAnsiTheme="majorBidi" w:cstheme="majorBidi"/>
          <w:sz w:val="24"/>
        </w:rPr>
        <w:t xml:space="preserve">research initiation and international collaboration research </w:t>
      </w:r>
      <w:r w:rsidR="00A86EF3">
        <w:rPr>
          <w:rFonts w:asciiTheme="majorBidi" w:eastAsia="DFKai-SB" w:hAnsiTheme="majorBidi" w:cstheme="majorBidi" w:hint="eastAsia"/>
          <w:sz w:val="24"/>
        </w:rPr>
        <w:t>funds</w:t>
      </w:r>
      <w:r w:rsidRPr="00285C2A">
        <w:rPr>
          <w:rFonts w:asciiTheme="majorBidi" w:eastAsia="DFKai-SB" w:hAnsiTheme="majorBidi" w:cstheme="majorBidi"/>
          <w:sz w:val="24"/>
        </w:rPr>
        <w:t xml:space="preserve"> is conducted in two stages. In the first stage, </w:t>
      </w:r>
      <w:r w:rsidR="00FA077A">
        <w:rPr>
          <w:rFonts w:asciiTheme="majorBidi" w:eastAsia="DFKai-SB" w:hAnsiTheme="majorBidi" w:cstheme="majorBidi" w:hint="eastAsia"/>
          <w:sz w:val="24"/>
        </w:rPr>
        <w:t xml:space="preserve">the department of the applicant shall </w:t>
      </w:r>
      <w:r w:rsidRPr="00285C2A">
        <w:rPr>
          <w:rFonts w:asciiTheme="majorBidi" w:eastAsia="DFKai-SB" w:hAnsiTheme="majorBidi" w:cstheme="majorBidi"/>
          <w:sz w:val="24"/>
        </w:rPr>
        <w:t xml:space="preserve">establish a recommendation mechanism to carry out preliminary reviews, with the </w:t>
      </w:r>
      <w:r w:rsidR="00FA077A">
        <w:rPr>
          <w:rFonts w:asciiTheme="majorBidi" w:eastAsia="DFKai-SB" w:hAnsiTheme="majorBidi" w:cstheme="majorBidi" w:hint="eastAsia"/>
          <w:sz w:val="24"/>
        </w:rPr>
        <w:t xml:space="preserve">reviewing </w:t>
      </w:r>
      <w:r w:rsidRPr="00285C2A">
        <w:rPr>
          <w:rFonts w:asciiTheme="majorBidi" w:eastAsia="DFKai-SB" w:hAnsiTheme="majorBidi" w:cstheme="majorBidi"/>
          <w:sz w:val="24"/>
        </w:rPr>
        <w:t xml:space="preserve">methods reported to the University for record-keeping. The University-level selection committee, consisting of five to seven members appointed by the Office of the President based on the specifics of each case and consultations within and outside the University, </w:t>
      </w:r>
      <w:r w:rsidR="00FA077A">
        <w:rPr>
          <w:rFonts w:asciiTheme="majorBidi" w:eastAsia="DFKai-SB" w:hAnsiTheme="majorBidi" w:cstheme="majorBidi" w:hint="eastAsia"/>
          <w:sz w:val="24"/>
        </w:rPr>
        <w:t>shall</w:t>
      </w:r>
      <w:r w:rsidRPr="00285C2A">
        <w:rPr>
          <w:rFonts w:asciiTheme="majorBidi" w:eastAsia="DFKai-SB" w:hAnsiTheme="majorBidi" w:cstheme="majorBidi"/>
          <w:sz w:val="24"/>
        </w:rPr>
        <w:t xml:space="preserve"> conduct the final review.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FAE6618" w14:textId="4F56FDA7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8</w:t>
      </w:r>
      <w:r w:rsidR="00FA077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Recipients of project-based </w:t>
      </w:r>
      <w:r w:rsidR="00FA077A" w:rsidRPr="00FA077A">
        <w:rPr>
          <w:rFonts w:asciiTheme="majorBidi" w:eastAsia="DFKai-SB" w:hAnsiTheme="majorBidi" w:cstheme="majorBidi"/>
          <w:sz w:val="24"/>
        </w:rPr>
        <w:t>research initiation and international collaboration (exchange) research funds</w:t>
      </w:r>
      <w:r w:rsidRPr="00285C2A">
        <w:rPr>
          <w:rFonts w:asciiTheme="majorBidi" w:eastAsia="DFKai-SB" w:hAnsiTheme="majorBidi" w:cstheme="majorBidi"/>
          <w:sz w:val="24"/>
        </w:rPr>
        <w:t xml:space="preserve"> must undergo an annual evaluation conducted by the recommending </w:t>
      </w:r>
      <w:r w:rsidR="00FA077A">
        <w:rPr>
          <w:rFonts w:asciiTheme="majorBidi" w:eastAsia="DFKai-SB" w:hAnsiTheme="majorBidi" w:cstheme="majorBidi" w:hint="eastAsia"/>
          <w:sz w:val="24"/>
        </w:rPr>
        <w:t>department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152924">
        <w:rPr>
          <w:rFonts w:asciiTheme="majorBidi" w:eastAsia="DFKai-SB" w:hAnsiTheme="majorBidi" w:cstheme="majorBidi"/>
          <w:sz w:val="24"/>
        </w:rPr>
        <w:t xml:space="preserve"> </w:t>
      </w:r>
    </w:p>
    <w:p w14:paraId="608F9277" w14:textId="0EB94BA8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9</w:t>
      </w:r>
      <w:r w:rsidR="00FA077A">
        <w:rPr>
          <w:rFonts w:asciiTheme="majorBidi" w:eastAsia="DFKai-SB" w:hAnsiTheme="majorBidi" w:cstheme="majorBidi"/>
          <w:sz w:val="24"/>
        </w:rPr>
        <w:tab/>
      </w:r>
      <w:r w:rsidR="00597384">
        <w:rPr>
          <w:rFonts w:asciiTheme="majorBidi" w:eastAsia="DFKai-SB" w:hAnsiTheme="majorBidi" w:cstheme="majorBidi"/>
          <w:sz w:val="24"/>
        </w:rPr>
        <w:t xml:space="preserve"> </w:t>
      </w:r>
      <w:r w:rsidRPr="00285C2A">
        <w:rPr>
          <w:rFonts w:asciiTheme="majorBidi" w:eastAsia="DFKai-SB" w:hAnsiTheme="majorBidi" w:cstheme="majorBidi"/>
          <w:sz w:val="24"/>
        </w:rPr>
        <w:t>The fund</w:t>
      </w:r>
      <w:r w:rsidR="00FA077A">
        <w:rPr>
          <w:rFonts w:asciiTheme="majorBidi" w:eastAsia="DFKai-SB" w:hAnsiTheme="majorBidi" w:cstheme="majorBidi" w:hint="eastAsia"/>
          <w:sz w:val="24"/>
        </w:rPr>
        <w:t>ing</w:t>
      </w:r>
      <w:r w:rsidRPr="00285C2A">
        <w:rPr>
          <w:rFonts w:asciiTheme="majorBidi" w:eastAsia="DFKai-SB" w:hAnsiTheme="majorBidi" w:cstheme="majorBidi"/>
          <w:sz w:val="24"/>
        </w:rPr>
        <w:t xml:space="preserve"> required for implementing these regulations shall be sourced from relevant budgets approved by the ministries or from self-raised revenues of the University </w:t>
      </w:r>
      <w:r w:rsidR="00FA077A" w:rsidRPr="00FA077A">
        <w:rPr>
          <w:rFonts w:asciiTheme="majorBidi" w:eastAsia="DFKai-SB" w:hAnsiTheme="majorBidi" w:cstheme="majorBidi"/>
          <w:sz w:val="24"/>
        </w:rPr>
        <w:t xml:space="preserve">Endowment </w:t>
      </w:r>
      <w:r w:rsidRPr="00285C2A">
        <w:rPr>
          <w:rFonts w:asciiTheme="majorBidi" w:eastAsia="DFKai-SB" w:hAnsiTheme="majorBidi" w:cstheme="majorBidi"/>
          <w:sz w:val="24"/>
        </w:rPr>
        <w:t>Fund.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EF2C0DC" w14:textId="643806F3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10</w:t>
      </w:r>
      <w:r w:rsidR="00FA077A">
        <w:rPr>
          <w:rFonts w:asciiTheme="majorBidi" w:eastAsia="DFKai-SB" w:hAnsiTheme="majorBidi" w:cstheme="majorBidi"/>
          <w:sz w:val="24"/>
        </w:rPr>
        <w:tab/>
      </w:r>
      <w:r w:rsidR="00FA077A">
        <w:rPr>
          <w:rFonts w:asciiTheme="majorBidi" w:eastAsia="DFKai-SB" w:hAnsiTheme="majorBidi" w:cstheme="majorBidi" w:hint="eastAsia"/>
          <w:sz w:val="24"/>
        </w:rPr>
        <w:t xml:space="preserve"> </w:t>
      </w:r>
      <w:r w:rsidRPr="00285C2A">
        <w:rPr>
          <w:rFonts w:asciiTheme="majorBidi" w:eastAsia="DFKai-SB" w:hAnsiTheme="majorBidi" w:cstheme="majorBidi"/>
          <w:sz w:val="24"/>
        </w:rPr>
        <w:t xml:space="preserve">These regulations shall be implemented following approval </w:t>
      </w:r>
      <w:r w:rsidR="00FA077A">
        <w:rPr>
          <w:rFonts w:asciiTheme="majorBidi" w:eastAsia="DFKai-SB" w:hAnsiTheme="majorBidi" w:cstheme="majorBidi" w:hint="eastAsia"/>
          <w:sz w:val="24"/>
        </w:rPr>
        <w:t>at</w:t>
      </w:r>
      <w:r w:rsidRPr="00285C2A">
        <w:rPr>
          <w:rFonts w:asciiTheme="majorBidi" w:eastAsia="DFKai-SB" w:hAnsiTheme="majorBidi" w:cstheme="majorBidi"/>
          <w:sz w:val="24"/>
        </w:rPr>
        <w:t xml:space="preserve"> the Administrative Meeting. The same procedure applies to any subsequent amendments.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sectPr w:rsidR="00CA0616" w:rsidRPr="00FA077A" w:rsidSect="00152924">
      <w:pgSz w:w="11911" w:h="1684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2F0C" w14:textId="77777777" w:rsidR="00CF6E1E" w:rsidRDefault="00CF6E1E" w:rsidP="00D35CA9">
      <w:pPr>
        <w:spacing w:after="0" w:line="240" w:lineRule="auto"/>
      </w:pPr>
      <w:r>
        <w:separator/>
      </w:r>
    </w:p>
  </w:endnote>
  <w:endnote w:type="continuationSeparator" w:id="0">
    <w:p w14:paraId="5A0A183F" w14:textId="77777777" w:rsidR="00CF6E1E" w:rsidRDefault="00CF6E1E" w:rsidP="00D3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FKai-SB">
    <w:altName w:val="Microsoft YaHei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DAC1" w14:textId="77777777" w:rsidR="00CF6E1E" w:rsidRDefault="00CF6E1E" w:rsidP="00D35CA9">
      <w:pPr>
        <w:spacing w:after="0" w:line="240" w:lineRule="auto"/>
      </w:pPr>
      <w:r>
        <w:separator/>
      </w:r>
    </w:p>
  </w:footnote>
  <w:footnote w:type="continuationSeparator" w:id="0">
    <w:p w14:paraId="64D99FE6" w14:textId="77777777" w:rsidR="00CF6E1E" w:rsidRDefault="00CF6E1E" w:rsidP="00D3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B26"/>
    <w:multiLevelType w:val="hybridMultilevel"/>
    <w:tmpl w:val="AF806C96"/>
    <w:lvl w:ilvl="0" w:tplc="3188A842">
      <w:start w:val="98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965C40">
      <w:start w:val="1"/>
      <w:numFmt w:val="lowerLetter"/>
      <w:lvlText w:val="%2"/>
      <w:lvlJc w:val="left"/>
      <w:pPr>
        <w:ind w:left="538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22C3C">
      <w:start w:val="1"/>
      <w:numFmt w:val="lowerRoman"/>
      <w:lvlText w:val="%3"/>
      <w:lvlJc w:val="left"/>
      <w:pPr>
        <w:ind w:left="610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4C4D38">
      <w:start w:val="1"/>
      <w:numFmt w:val="decimal"/>
      <w:lvlText w:val="%4"/>
      <w:lvlJc w:val="left"/>
      <w:pPr>
        <w:ind w:left="682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A2FA8">
      <w:start w:val="1"/>
      <w:numFmt w:val="lowerLetter"/>
      <w:lvlText w:val="%5"/>
      <w:lvlJc w:val="left"/>
      <w:pPr>
        <w:ind w:left="754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8F8">
      <w:start w:val="1"/>
      <w:numFmt w:val="lowerRoman"/>
      <w:lvlText w:val="%6"/>
      <w:lvlJc w:val="left"/>
      <w:pPr>
        <w:ind w:left="826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3249A6">
      <w:start w:val="1"/>
      <w:numFmt w:val="decimal"/>
      <w:lvlText w:val="%7"/>
      <w:lvlJc w:val="left"/>
      <w:pPr>
        <w:ind w:left="898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CD902">
      <w:start w:val="1"/>
      <w:numFmt w:val="lowerLetter"/>
      <w:lvlText w:val="%8"/>
      <w:lvlJc w:val="left"/>
      <w:pPr>
        <w:ind w:left="970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14DF26">
      <w:start w:val="1"/>
      <w:numFmt w:val="lowerRoman"/>
      <w:lvlText w:val="%9"/>
      <w:lvlJc w:val="left"/>
      <w:pPr>
        <w:ind w:left="1042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70B1B"/>
    <w:multiLevelType w:val="hybridMultilevel"/>
    <w:tmpl w:val="9D1CE23A"/>
    <w:lvl w:ilvl="0" w:tplc="6CC6747C">
      <w:start w:val="96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886760">
      <w:start w:val="1"/>
      <w:numFmt w:val="lowerLetter"/>
      <w:lvlText w:val="%2"/>
      <w:lvlJc w:val="left"/>
      <w:pPr>
        <w:ind w:left="49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220D2">
      <w:start w:val="1"/>
      <w:numFmt w:val="lowerRoman"/>
      <w:lvlText w:val="%3"/>
      <w:lvlJc w:val="left"/>
      <w:pPr>
        <w:ind w:left="56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0830C">
      <w:start w:val="1"/>
      <w:numFmt w:val="decimal"/>
      <w:lvlText w:val="%4"/>
      <w:lvlJc w:val="left"/>
      <w:pPr>
        <w:ind w:left="63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9AA24A">
      <w:start w:val="1"/>
      <w:numFmt w:val="lowerLetter"/>
      <w:lvlText w:val="%5"/>
      <w:lvlJc w:val="left"/>
      <w:pPr>
        <w:ind w:left="70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20EEBE">
      <w:start w:val="1"/>
      <w:numFmt w:val="lowerRoman"/>
      <w:lvlText w:val="%6"/>
      <w:lvlJc w:val="left"/>
      <w:pPr>
        <w:ind w:left="781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441994">
      <w:start w:val="1"/>
      <w:numFmt w:val="decimal"/>
      <w:lvlText w:val="%7"/>
      <w:lvlJc w:val="left"/>
      <w:pPr>
        <w:ind w:left="85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60929E">
      <w:start w:val="1"/>
      <w:numFmt w:val="lowerLetter"/>
      <w:lvlText w:val="%8"/>
      <w:lvlJc w:val="left"/>
      <w:pPr>
        <w:ind w:left="92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2FC70">
      <w:start w:val="1"/>
      <w:numFmt w:val="lowerRoman"/>
      <w:lvlText w:val="%9"/>
      <w:lvlJc w:val="left"/>
      <w:pPr>
        <w:ind w:left="99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6164F"/>
    <w:multiLevelType w:val="hybridMultilevel"/>
    <w:tmpl w:val="185618B0"/>
    <w:lvl w:ilvl="0" w:tplc="7F4A9D4C">
      <w:start w:val="97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343628">
      <w:start w:val="1"/>
      <w:numFmt w:val="lowerLetter"/>
      <w:lvlText w:val="%2"/>
      <w:lvlJc w:val="left"/>
      <w:pPr>
        <w:ind w:left="47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3AB03A">
      <w:start w:val="1"/>
      <w:numFmt w:val="lowerRoman"/>
      <w:lvlText w:val="%3"/>
      <w:lvlJc w:val="left"/>
      <w:pPr>
        <w:ind w:left="54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40DEB4">
      <w:start w:val="1"/>
      <w:numFmt w:val="decimal"/>
      <w:lvlText w:val="%4"/>
      <w:lvlJc w:val="left"/>
      <w:pPr>
        <w:ind w:left="61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DC09BC">
      <w:start w:val="1"/>
      <w:numFmt w:val="lowerLetter"/>
      <w:lvlText w:val="%5"/>
      <w:lvlJc w:val="left"/>
      <w:pPr>
        <w:ind w:left="691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2D434">
      <w:start w:val="1"/>
      <w:numFmt w:val="lowerRoman"/>
      <w:lvlText w:val="%6"/>
      <w:lvlJc w:val="left"/>
      <w:pPr>
        <w:ind w:left="76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063F96">
      <w:start w:val="1"/>
      <w:numFmt w:val="decimal"/>
      <w:lvlText w:val="%7"/>
      <w:lvlJc w:val="left"/>
      <w:pPr>
        <w:ind w:left="83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E267A4">
      <w:start w:val="1"/>
      <w:numFmt w:val="lowerLetter"/>
      <w:lvlText w:val="%8"/>
      <w:lvlJc w:val="left"/>
      <w:pPr>
        <w:ind w:left="90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345A04">
      <w:start w:val="1"/>
      <w:numFmt w:val="lowerRoman"/>
      <w:lvlText w:val="%9"/>
      <w:lvlJc w:val="left"/>
      <w:pPr>
        <w:ind w:left="97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15964"/>
    <w:multiLevelType w:val="hybridMultilevel"/>
    <w:tmpl w:val="239471CC"/>
    <w:lvl w:ilvl="0" w:tplc="FF68FFC4">
      <w:start w:val="1"/>
      <w:numFmt w:val="decimal"/>
      <w:lvlText w:val="%1"/>
      <w:lvlJc w:val="left"/>
      <w:pPr>
        <w:ind w:left="36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C63EBE">
      <w:start w:val="98"/>
      <w:numFmt w:val="decimal"/>
      <w:lvlText w:val="%2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279E8">
      <w:start w:val="1"/>
      <w:numFmt w:val="lowerRoman"/>
      <w:lvlText w:val="%3"/>
      <w:lvlJc w:val="left"/>
      <w:pPr>
        <w:ind w:left="578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B47C48">
      <w:start w:val="1"/>
      <w:numFmt w:val="decimal"/>
      <w:lvlText w:val="%4"/>
      <w:lvlJc w:val="left"/>
      <w:pPr>
        <w:ind w:left="650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3A2A42">
      <w:start w:val="1"/>
      <w:numFmt w:val="lowerLetter"/>
      <w:lvlText w:val="%5"/>
      <w:lvlJc w:val="left"/>
      <w:pPr>
        <w:ind w:left="722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041778">
      <w:start w:val="1"/>
      <w:numFmt w:val="lowerRoman"/>
      <w:lvlText w:val="%6"/>
      <w:lvlJc w:val="left"/>
      <w:pPr>
        <w:ind w:left="794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4E36D0">
      <w:start w:val="1"/>
      <w:numFmt w:val="decimal"/>
      <w:lvlText w:val="%7"/>
      <w:lvlJc w:val="left"/>
      <w:pPr>
        <w:ind w:left="866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6C6DC6">
      <w:start w:val="1"/>
      <w:numFmt w:val="lowerLetter"/>
      <w:lvlText w:val="%8"/>
      <w:lvlJc w:val="left"/>
      <w:pPr>
        <w:ind w:left="938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160544">
      <w:start w:val="1"/>
      <w:numFmt w:val="lowerRoman"/>
      <w:lvlText w:val="%9"/>
      <w:lvlJc w:val="left"/>
      <w:pPr>
        <w:ind w:left="1010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3007460">
    <w:abstractNumId w:val="1"/>
  </w:num>
  <w:num w:numId="2" w16cid:durableId="126701489">
    <w:abstractNumId w:val="2"/>
  </w:num>
  <w:num w:numId="3" w16cid:durableId="554705738">
    <w:abstractNumId w:val="0"/>
  </w:num>
  <w:num w:numId="4" w16cid:durableId="77131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6"/>
    <w:rsid w:val="000D65B3"/>
    <w:rsid w:val="00152924"/>
    <w:rsid w:val="001719C1"/>
    <w:rsid w:val="00207307"/>
    <w:rsid w:val="00211B28"/>
    <w:rsid w:val="00285C2A"/>
    <w:rsid w:val="00295033"/>
    <w:rsid w:val="002B2D0D"/>
    <w:rsid w:val="00357BA2"/>
    <w:rsid w:val="00411FDD"/>
    <w:rsid w:val="004C3CA2"/>
    <w:rsid w:val="00515A39"/>
    <w:rsid w:val="00576914"/>
    <w:rsid w:val="00597384"/>
    <w:rsid w:val="005C6641"/>
    <w:rsid w:val="005E4579"/>
    <w:rsid w:val="006C05BC"/>
    <w:rsid w:val="006D00B7"/>
    <w:rsid w:val="00700D81"/>
    <w:rsid w:val="007974B7"/>
    <w:rsid w:val="00815209"/>
    <w:rsid w:val="00894325"/>
    <w:rsid w:val="008D5891"/>
    <w:rsid w:val="009520EA"/>
    <w:rsid w:val="009B29EF"/>
    <w:rsid w:val="009E2BC9"/>
    <w:rsid w:val="00A24F74"/>
    <w:rsid w:val="00A81FE5"/>
    <w:rsid w:val="00A86EF3"/>
    <w:rsid w:val="00AC6002"/>
    <w:rsid w:val="00B200E7"/>
    <w:rsid w:val="00C03DAD"/>
    <w:rsid w:val="00C51631"/>
    <w:rsid w:val="00CA0616"/>
    <w:rsid w:val="00CB6C27"/>
    <w:rsid w:val="00CC4ECE"/>
    <w:rsid w:val="00CF6E1E"/>
    <w:rsid w:val="00D174CC"/>
    <w:rsid w:val="00D35CA9"/>
    <w:rsid w:val="00DC0F29"/>
    <w:rsid w:val="00DF63BF"/>
    <w:rsid w:val="00F131F4"/>
    <w:rsid w:val="00F227FE"/>
    <w:rsid w:val="00F52ECE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7BFD"/>
  <w15:docId w15:val="{F012543E-4C93-4271-BA09-DAACE05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5CA9"/>
    <w:rPr>
      <w:rFonts w:ascii="Calibri" w:eastAsia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CA9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174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4CC"/>
    <w:pPr>
      <w:widowControl w:val="0"/>
      <w:spacing w:after="0" w:line="240" w:lineRule="auto"/>
    </w:pPr>
    <w:rPr>
      <w:rFonts w:eastAsia="PMingLiU" w:cs="Times New Roman"/>
      <w:color w:val="auto"/>
      <w:sz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4CC"/>
    <w:rPr>
      <w:rFonts w:ascii="Calibri" w:eastAsia="PMingLiU" w:hAnsi="Calibri" w:cs="Times New Roma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77A"/>
    <w:pPr>
      <w:widowControl/>
      <w:spacing w:after="160"/>
    </w:pPr>
    <w:rPr>
      <w:rFonts w:eastAsia="Calibri" w:cs="Calibri"/>
      <w:b/>
      <w:bCs/>
      <w:color w:val="000000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77A"/>
    <w:rPr>
      <w:rFonts w:ascii="Calibri" w:eastAsia="Calibri" w:hAnsi="Calibri" w:cs="Calibri"/>
      <w:b/>
      <w:bCs/>
      <w:color w:val="00000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31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6</cp:revision>
  <dcterms:created xsi:type="dcterms:W3CDTF">2024-10-04T02:05:00Z</dcterms:created>
  <dcterms:modified xsi:type="dcterms:W3CDTF">2024-10-30T08:28:00Z</dcterms:modified>
</cp:coreProperties>
</file>