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227E2" w14:textId="498306F7" w:rsidR="00C13429" w:rsidRPr="0002354F" w:rsidRDefault="00C13429" w:rsidP="0002354F">
      <w:pPr>
        <w:spacing w:after="150"/>
        <w:jc w:val="center"/>
        <w:rPr>
          <w:rFonts w:ascii="Times New Roman" w:hAnsi="Times New Roman" w:cs="Times New Roman"/>
          <w:sz w:val="24"/>
          <w:szCs w:val="24"/>
        </w:rPr>
      </w:pPr>
      <w:r w:rsidRPr="0002354F">
        <w:rPr>
          <w:rFonts w:ascii="Times New Roman" w:eastAsia="Times New Roman" w:hAnsi="Times New Roman" w:cs="Times New Roman"/>
          <w:b/>
          <w:sz w:val="32"/>
          <w:szCs w:val="24"/>
        </w:rPr>
        <w:t xml:space="preserve">National Taiwan University </w:t>
      </w:r>
      <w:r w:rsidR="00B71D57" w:rsidRPr="0002354F">
        <w:rPr>
          <w:rFonts w:ascii="Times New Roman" w:eastAsia="Times New Roman" w:hAnsi="Times New Roman" w:cs="Times New Roman"/>
          <w:b/>
          <w:sz w:val="32"/>
          <w:szCs w:val="24"/>
        </w:rPr>
        <w:t xml:space="preserve">of </w:t>
      </w:r>
      <w:r w:rsidRPr="0002354F">
        <w:rPr>
          <w:rFonts w:ascii="Times New Roman" w:eastAsia="Times New Roman" w:hAnsi="Times New Roman" w:cs="Times New Roman"/>
          <w:b/>
          <w:sz w:val="32"/>
          <w:szCs w:val="24"/>
        </w:rPr>
        <w:t>Science and Technology Guidelines on Incentives for Encouraging Faculty to Execute the Teaching Practice Research Program</w:t>
      </w:r>
    </w:p>
    <w:p w14:paraId="1D26C81C" w14:textId="44BF6EAD" w:rsidR="00C13429" w:rsidRPr="00C13429" w:rsidRDefault="00C13429" w:rsidP="00C13429">
      <w:pPr>
        <w:spacing w:after="120"/>
        <w:ind w:right="63"/>
        <w:jc w:val="right"/>
        <w:rPr>
          <w:rFonts w:ascii="Times New Roman" w:eastAsia="Times New Roman" w:hAnsi="Times New Roman" w:cs="Times New Roman"/>
          <w:sz w:val="20"/>
        </w:rPr>
      </w:pPr>
      <w:r w:rsidRPr="00C13429">
        <w:rPr>
          <w:rFonts w:ascii="Times New Roman" w:eastAsia="Times New Roman" w:hAnsi="Times New Roman" w:cs="Times New Roman"/>
          <w:sz w:val="20"/>
        </w:rPr>
        <w:t>Approved at the 592th Administrative Meeting on November 24, 2020</w:t>
      </w:r>
    </w:p>
    <w:p w14:paraId="7F05B830" w14:textId="2576653A" w:rsidR="00C13429" w:rsidRPr="00677F40" w:rsidRDefault="00C13429">
      <w:pPr>
        <w:spacing w:after="411"/>
        <w:ind w:right="63"/>
        <w:jc w:val="right"/>
        <w:rPr>
          <w:rFonts w:ascii="Times New Roman" w:hAnsi="Times New Roman" w:cs="Times New Roman"/>
          <w:u w:val="single"/>
        </w:rPr>
      </w:pPr>
      <w:r w:rsidRPr="00677F40">
        <w:rPr>
          <w:rFonts w:ascii="Times New Roman" w:eastAsia="Times New Roman" w:hAnsi="Times New Roman" w:cs="Times New Roman"/>
          <w:sz w:val="20"/>
          <w:u w:val="single"/>
        </w:rPr>
        <w:t>Amended and approved at the 613</w:t>
      </w:r>
      <w:r w:rsidR="00556297">
        <w:rPr>
          <w:rFonts w:ascii="Times New Roman" w:eastAsia="Times New Roman" w:hAnsi="Times New Roman" w:cs="Times New Roman"/>
          <w:sz w:val="20"/>
          <w:u w:val="single"/>
        </w:rPr>
        <w:t>th</w:t>
      </w:r>
      <w:r w:rsidRPr="00677F40">
        <w:rPr>
          <w:rFonts w:ascii="Times New Roman" w:eastAsia="Times New Roman" w:hAnsi="Times New Roman" w:cs="Times New Roman"/>
          <w:sz w:val="20"/>
          <w:u w:val="single"/>
        </w:rPr>
        <w:t xml:space="preserve"> Administrative Meeting on October 18, 2022</w:t>
      </w:r>
    </w:p>
    <w:p w14:paraId="75CD4E4B" w14:textId="2B2541DC" w:rsidR="00C13429" w:rsidRPr="0002354F" w:rsidRDefault="00C13429" w:rsidP="0002354F">
      <w:pPr>
        <w:spacing w:after="153" w:line="276" w:lineRule="auto"/>
        <w:ind w:left="1104" w:hangingChars="460" w:hanging="1104"/>
        <w:jc w:val="both"/>
        <w:rPr>
          <w:rFonts w:ascii="Times New Roman" w:eastAsia="Times New Roman" w:hAnsi="Times New Roman" w:cs="Times New Roman"/>
          <w:sz w:val="24"/>
        </w:rPr>
      </w:pPr>
      <w:r w:rsidRPr="00C13429">
        <w:rPr>
          <w:rFonts w:ascii="Times New Roman" w:eastAsia="Times New Roman" w:hAnsi="Times New Roman" w:cs="Times New Roman"/>
          <w:sz w:val="24"/>
        </w:rPr>
        <w:t xml:space="preserve">Article 1 </w:t>
      </w:r>
      <w:r w:rsidR="0002354F">
        <w:rPr>
          <w:rFonts w:ascii="Times New Roman" w:eastAsia="Times New Roman" w:hAnsi="Times New Roman" w:cs="Times New Roman"/>
          <w:sz w:val="24"/>
        </w:rPr>
        <w:t xml:space="preserve"> </w:t>
      </w:r>
      <w:r w:rsidRPr="00C13429">
        <w:rPr>
          <w:rFonts w:ascii="Times New Roman" w:eastAsia="Times New Roman" w:hAnsi="Times New Roman" w:cs="Times New Roman"/>
          <w:sz w:val="24"/>
        </w:rPr>
        <w:t xml:space="preserve">National Taiwan University </w:t>
      </w:r>
      <w:r w:rsidR="00B71D57">
        <w:rPr>
          <w:rFonts w:ascii="Times New Roman" w:eastAsia="Times New Roman" w:hAnsi="Times New Roman" w:cs="Times New Roman"/>
          <w:sz w:val="24"/>
        </w:rPr>
        <w:t xml:space="preserve">of </w:t>
      </w:r>
      <w:r w:rsidRPr="00C13429">
        <w:rPr>
          <w:rFonts w:ascii="Times New Roman" w:eastAsia="Times New Roman" w:hAnsi="Times New Roman" w:cs="Times New Roman"/>
          <w:sz w:val="24"/>
        </w:rPr>
        <w:t>Science and Technology Guidelines on Incentives for Encouraging Faculty to Execute the Teaching Practice Research Program</w:t>
      </w:r>
      <w:r>
        <w:rPr>
          <w:rFonts w:ascii="Times New Roman" w:eastAsia="Times New Roman" w:hAnsi="Times New Roman" w:cs="Times New Roman"/>
          <w:sz w:val="24"/>
        </w:rPr>
        <w:t xml:space="preserve"> (hereinafter referred to as “the Guidelines”</w:t>
      </w:r>
      <w:r w:rsidR="00FD499F">
        <w:rPr>
          <w:rFonts w:ascii="Times New Roman" w:eastAsia="Times New Roman" w:hAnsi="Times New Roman" w:cs="Times New Roman"/>
          <w:sz w:val="24"/>
        </w:rPr>
        <w:t>)</w:t>
      </w:r>
      <w:r>
        <w:rPr>
          <w:rFonts w:ascii="Times New Roman" w:eastAsia="Times New Roman" w:hAnsi="Times New Roman" w:cs="Times New Roman"/>
          <w:sz w:val="24"/>
        </w:rPr>
        <w:t xml:space="preserve"> have been implemented t</w:t>
      </w:r>
      <w:r w:rsidRPr="00C13429">
        <w:rPr>
          <w:rFonts w:ascii="Times New Roman" w:eastAsia="Times New Roman" w:hAnsi="Times New Roman" w:cs="Times New Roman"/>
          <w:sz w:val="24"/>
        </w:rPr>
        <w:t xml:space="preserve">o encourage </w:t>
      </w:r>
      <w:r w:rsidR="007A080C">
        <w:rPr>
          <w:rFonts w:ascii="Times New Roman" w:eastAsia="Times New Roman" w:hAnsi="Times New Roman" w:cs="Times New Roman"/>
          <w:sz w:val="24"/>
        </w:rPr>
        <w:t>faculty</w:t>
      </w:r>
      <w:r w:rsidR="007A080C" w:rsidRPr="00C13429">
        <w:rPr>
          <w:rFonts w:ascii="Times New Roman" w:eastAsia="Times New Roman" w:hAnsi="Times New Roman" w:cs="Times New Roman"/>
          <w:sz w:val="24"/>
        </w:rPr>
        <w:t xml:space="preserve"> </w:t>
      </w:r>
      <w:r w:rsidRPr="00C13429">
        <w:rPr>
          <w:rFonts w:ascii="Times New Roman" w:eastAsia="Times New Roman" w:hAnsi="Times New Roman" w:cs="Times New Roman"/>
          <w:sz w:val="24"/>
        </w:rPr>
        <w:t xml:space="preserve">at National Taiwan University of Science and Technology (hereinafter referred to as </w:t>
      </w:r>
      <w:r>
        <w:rPr>
          <w:rFonts w:ascii="Times New Roman" w:eastAsia="Times New Roman" w:hAnsi="Times New Roman" w:cs="Times New Roman"/>
          <w:sz w:val="24"/>
        </w:rPr>
        <w:t>“</w:t>
      </w:r>
      <w:r w:rsidRPr="00C13429">
        <w:rPr>
          <w:rFonts w:ascii="Times New Roman" w:eastAsia="Times New Roman" w:hAnsi="Times New Roman" w:cs="Times New Roman"/>
          <w:sz w:val="24"/>
        </w:rPr>
        <w:t>the University</w:t>
      </w:r>
      <w:r>
        <w:rPr>
          <w:rFonts w:ascii="Times New Roman" w:eastAsia="Times New Roman" w:hAnsi="Times New Roman" w:cs="Times New Roman"/>
          <w:sz w:val="24"/>
        </w:rPr>
        <w:t>”</w:t>
      </w:r>
      <w:r w:rsidRPr="00C13429">
        <w:rPr>
          <w:rFonts w:ascii="Times New Roman" w:eastAsia="Times New Roman" w:hAnsi="Times New Roman" w:cs="Times New Roman"/>
          <w:sz w:val="24"/>
        </w:rPr>
        <w:t xml:space="preserve">) to execute the Ministry of Education </w:t>
      </w:r>
      <w:r>
        <w:rPr>
          <w:rFonts w:ascii="Times New Roman" w:eastAsia="Times New Roman" w:hAnsi="Times New Roman" w:cs="Times New Roman"/>
          <w:sz w:val="24"/>
        </w:rPr>
        <w:t>Teaching Practice Research Subsidies Program</w:t>
      </w:r>
      <w:r w:rsidRPr="00C13429">
        <w:rPr>
          <w:rFonts w:ascii="Times New Roman" w:eastAsia="Times New Roman" w:hAnsi="Times New Roman" w:cs="Times New Roman"/>
          <w:sz w:val="24"/>
        </w:rPr>
        <w:t xml:space="preserve"> (hereinafter referred to as </w:t>
      </w:r>
      <w:r>
        <w:rPr>
          <w:rFonts w:ascii="Times New Roman" w:eastAsia="Times New Roman" w:hAnsi="Times New Roman" w:cs="Times New Roman"/>
          <w:sz w:val="24"/>
        </w:rPr>
        <w:t>the “</w:t>
      </w:r>
      <w:r w:rsidRPr="00C13429">
        <w:rPr>
          <w:rFonts w:ascii="Times New Roman" w:eastAsia="Times New Roman" w:hAnsi="Times New Roman" w:cs="Times New Roman"/>
          <w:sz w:val="24"/>
        </w:rPr>
        <w:t>Teaching Practice Pro</w:t>
      </w:r>
      <w:r>
        <w:rPr>
          <w:rFonts w:ascii="Times New Roman" w:eastAsia="Times New Roman" w:hAnsi="Times New Roman" w:cs="Times New Roman"/>
          <w:sz w:val="24"/>
        </w:rPr>
        <w:t>gram”</w:t>
      </w:r>
      <w:r w:rsidRPr="00C13429">
        <w:rPr>
          <w:rFonts w:ascii="Times New Roman" w:eastAsia="Times New Roman" w:hAnsi="Times New Roman" w:cs="Times New Roman"/>
          <w:sz w:val="24"/>
        </w:rPr>
        <w:t>)</w:t>
      </w:r>
      <w:r w:rsidR="007A080C">
        <w:rPr>
          <w:rFonts w:ascii="Times New Roman" w:eastAsia="Times New Roman" w:hAnsi="Times New Roman" w:cs="Times New Roman"/>
          <w:sz w:val="24"/>
        </w:rPr>
        <w:t xml:space="preserve">; </w:t>
      </w:r>
      <w:r w:rsidRPr="00C13429">
        <w:rPr>
          <w:rFonts w:ascii="Times New Roman" w:eastAsia="Times New Roman" w:hAnsi="Times New Roman" w:cs="Times New Roman"/>
          <w:sz w:val="24"/>
        </w:rPr>
        <w:t xml:space="preserve">apply innovative teaching strategies and </w:t>
      </w:r>
      <w:r w:rsidR="007A080C">
        <w:rPr>
          <w:rFonts w:ascii="Times New Roman" w:eastAsia="Times New Roman" w:hAnsi="Times New Roman" w:cs="Times New Roman"/>
          <w:sz w:val="24"/>
        </w:rPr>
        <w:t>adequat</w:t>
      </w:r>
      <w:r w:rsidR="007A080C" w:rsidRPr="00C13429">
        <w:rPr>
          <w:rFonts w:ascii="Times New Roman" w:eastAsia="Times New Roman" w:hAnsi="Times New Roman" w:cs="Times New Roman"/>
          <w:sz w:val="24"/>
        </w:rPr>
        <w:t xml:space="preserve">e </w:t>
      </w:r>
      <w:r w:rsidRPr="00C13429">
        <w:rPr>
          <w:rFonts w:ascii="Times New Roman" w:eastAsia="Times New Roman" w:hAnsi="Times New Roman" w:cs="Times New Roman"/>
          <w:sz w:val="24"/>
        </w:rPr>
        <w:t>research methods in educational settings</w:t>
      </w:r>
      <w:r w:rsidR="007A080C">
        <w:rPr>
          <w:rFonts w:ascii="Times New Roman" w:eastAsia="Times New Roman" w:hAnsi="Times New Roman" w:cs="Times New Roman"/>
          <w:sz w:val="24"/>
        </w:rPr>
        <w:t>;</w:t>
      </w:r>
      <w:r w:rsidRPr="00C13429">
        <w:rPr>
          <w:rFonts w:ascii="Times New Roman" w:eastAsia="Times New Roman" w:hAnsi="Times New Roman" w:cs="Times New Roman"/>
          <w:sz w:val="24"/>
        </w:rPr>
        <w:t xml:space="preserve"> enhance the quality of course instruction</w:t>
      </w:r>
      <w:r w:rsidR="007A080C">
        <w:rPr>
          <w:rFonts w:ascii="Times New Roman" w:eastAsia="Times New Roman" w:hAnsi="Times New Roman" w:cs="Times New Roman"/>
          <w:sz w:val="24"/>
        </w:rPr>
        <w:t>;</w:t>
      </w:r>
      <w:r w:rsidRPr="00C13429">
        <w:rPr>
          <w:rFonts w:ascii="Times New Roman" w:eastAsia="Times New Roman" w:hAnsi="Times New Roman" w:cs="Times New Roman"/>
          <w:sz w:val="24"/>
        </w:rPr>
        <w:t xml:space="preserve"> and </w:t>
      </w:r>
      <w:r w:rsidR="008E3FB9">
        <w:rPr>
          <w:rFonts w:ascii="Times New Roman" w:eastAsia="Times New Roman" w:hAnsi="Times New Roman" w:cs="Times New Roman"/>
          <w:sz w:val="24"/>
        </w:rPr>
        <w:t>improve</w:t>
      </w:r>
      <w:r w:rsidR="008E3FB9" w:rsidRPr="00C13429">
        <w:rPr>
          <w:rFonts w:ascii="Times New Roman" w:eastAsia="Times New Roman" w:hAnsi="Times New Roman" w:cs="Times New Roman"/>
          <w:sz w:val="24"/>
        </w:rPr>
        <w:t xml:space="preserve"> </w:t>
      </w:r>
      <w:r w:rsidRPr="00C13429">
        <w:rPr>
          <w:rFonts w:ascii="Times New Roman" w:eastAsia="Times New Roman" w:hAnsi="Times New Roman" w:cs="Times New Roman"/>
          <w:sz w:val="24"/>
        </w:rPr>
        <w:t>student learning outcomes.</w:t>
      </w:r>
    </w:p>
    <w:p w14:paraId="6F389937" w14:textId="38ABA7C1" w:rsidR="00562F6C" w:rsidRPr="0002354F" w:rsidRDefault="00C13429" w:rsidP="0002354F">
      <w:pPr>
        <w:spacing w:after="153" w:line="276" w:lineRule="auto"/>
        <w:ind w:left="1104" w:hangingChars="460" w:hanging="1104"/>
        <w:jc w:val="both"/>
        <w:rPr>
          <w:rFonts w:ascii="Times New Roman" w:eastAsia="Times New Roman" w:hAnsi="Times New Roman" w:cs="Times New Roman"/>
          <w:sz w:val="24"/>
        </w:rPr>
      </w:pPr>
      <w:r w:rsidRPr="00C13429">
        <w:rPr>
          <w:rFonts w:ascii="Times New Roman" w:eastAsia="Times New Roman" w:hAnsi="Times New Roman" w:cs="Times New Roman"/>
          <w:sz w:val="24"/>
        </w:rPr>
        <w:t xml:space="preserve">Article 2 </w:t>
      </w:r>
      <w:r w:rsidR="0002354F">
        <w:rPr>
          <w:rFonts w:ascii="Times New Roman" w:eastAsia="Times New Roman" w:hAnsi="Times New Roman" w:cs="Times New Roman"/>
          <w:sz w:val="24"/>
        </w:rPr>
        <w:t xml:space="preserve">  </w:t>
      </w:r>
      <w:r w:rsidRPr="00C13429">
        <w:rPr>
          <w:rFonts w:ascii="Times New Roman" w:eastAsia="Times New Roman" w:hAnsi="Times New Roman" w:cs="Times New Roman"/>
          <w:sz w:val="24"/>
        </w:rPr>
        <w:t xml:space="preserve">The term </w:t>
      </w:r>
      <w:r w:rsidR="008E3FB9">
        <w:rPr>
          <w:rFonts w:ascii="Times New Roman" w:eastAsia="Times New Roman" w:hAnsi="Times New Roman" w:cs="Times New Roman"/>
          <w:sz w:val="24"/>
        </w:rPr>
        <w:t>“t</w:t>
      </w:r>
      <w:r w:rsidRPr="00C13429">
        <w:rPr>
          <w:rFonts w:ascii="Times New Roman" w:eastAsia="Times New Roman" w:hAnsi="Times New Roman" w:cs="Times New Roman"/>
          <w:sz w:val="24"/>
        </w:rPr>
        <w:t xml:space="preserve">eaching </w:t>
      </w:r>
      <w:r w:rsidR="008E3FB9">
        <w:rPr>
          <w:rFonts w:ascii="Times New Roman" w:eastAsia="Times New Roman" w:hAnsi="Times New Roman" w:cs="Times New Roman"/>
          <w:sz w:val="24"/>
        </w:rPr>
        <w:t>p</w:t>
      </w:r>
      <w:r w:rsidRPr="00C13429">
        <w:rPr>
          <w:rFonts w:ascii="Times New Roman" w:eastAsia="Times New Roman" w:hAnsi="Times New Roman" w:cs="Times New Roman"/>
          <w:sz w:val="24"/>
        </w:rPr>
        <w:t xml:space="preserve">ractice </w:t>
      </w:r>
      <w:r w:rsidR="008E3FB9">
        <w:rPr>
          <w:rFonts w:ascii="Times New Roman" w:eastAsia="Times New Roman" w:hAnsi="Times New Roman" w:cs="Times New Roman"/>
          <w:sz w:val="24"/>
        </w:rPr>
        <w:t>r</w:t>
      </w:r>
      <w:r w:rsidRPr="00C13429">
        <w:rPr>
          <w:rFonts w:ascii="Times New Roman" w:eastAsia="Times New Roman" w:hAnsi="Times New Roman" w:cs="Times New Roman"/>
          <w:sz w:val="24"/>
        </w:rPr>
        <w:t>esearch</w:t>
      </w:r>
      <w:r w:rsidR="008E3FB9">
        <w:rPr>
          <w:rFonts w:ascii="Times New Roman" w:eastAsia="Times New Roman" w:hAnsi="Times New Roman" w:cs="Times New Roman"/>
          <w:sz w:val="24"/>
        </w:rPr>
        <w:t>”</w:t>
      </w:r>
      <w:r w:rsidRPr="00C13429">
        <w:rPr>
          <w:rFonts w:ascii="Times New Roman" w:eastAsia="Times New Roman" w:hAnsi="Times New Roman" w:cs="Times New Roman"/>
          <w:sz w:val="24"/>
        </w:rPr>
        <w:t xml:space="preserve"> </w:t>
      </w:r>
      <w:r w:rsidR="008E3FB9">
        <w:rPr>
          <w:rFonts w:ascii="Times New Roman" w:eastAsia="Times New Roman" w:hAnsi="Times New Roman" w:cs="Times New Roman"/>
          <w:sz w:val="24"/>
        </w:rPr>
        <w:t>in the Guidelines</w:t>
      </w:r>
      <w:r w:rsidRPr="00C13429">
        <w:rPr>
          <w:rFonts w:ascii="Times New Roman" w:eastAsia="Times New Roman" w:hAnsi="Times New Roman" w:cs="Times New Roman"/>
          <w:sz w:val="24"/>
        </w:rPr>
        <w:t xml:space="preserve"> refers to the process whereby </w:t>
      </w:r>
      <w:r w:rsidR="008E3FB9">
        <w:rPr>
          <w:rFonts w:ascii="Times New Roman" w:eastAsia="Times New Roman" w:hAnsi="Times New Roman" w:cs="Times New Roman"/>
          <w:sz w:val="24"/>
        </w:rPr>
        <w:t>faculty members</w:t>
      </w:r>
      <w:r w:rsidR="008E3FB9" w:rsidRPr="00C13429">
        <w:rPr>
          <w:rFonts w:ascii="Times New Roman" w:eastAsia="Times New Roman" w:hAnsi="Times New Roman" w:cs="Times New Roman"/>
          <w:sz w:val="24"/>
        </w:rPr>
        <w:t xml:space="preserve"> </w:t>
      </w:r>
      <w:r w:rsidRPr="00C13429">
        <w:rPr>
          <w:rFonts w:ascii="Times New Roman" w:eastAsia="Times New Roman" w:hAnsi="Times New Roman" w:cs="Times New Roman"/>
          <w:sz w:val="24"/>
        </w:rPr>
        <w:t xml:space="preserve">aim to improve teaching quality and </w:t>
      </w:r>
      <w:r w:rsidR="008E3FB9">
        <w:rPr>
          <w:rFonts w:ascii="Times New Roman" w:eastAsia="Times New Roman" w:hAnsi="Times New Roman" w:cs="Times New Roman"/>
          <w:sz w:val="24"/>
        </w:rPr>
        <w:t>student</w:t>
      </w:r>
      <w:r w:rsidRPr="00C13429">
        <w:rPr>
          <w:rFonts w:ascii="Times New Roman" w:eastAsia="Times New Roman" w:hAnsi="Times New Roman" w:cs="Times New Roman"/>
          <w:sz w:val="24"/>
        </w:rPr>
        <w:t xml:space="preserve"> learning outcomes by identifying issues from educational settings or </w:t>
      </w:r>
      <w:r w:rsidR="008E3FB9">
        <w:rPr>
          <w:rFonts w:ascii="Times New Roman" w:eastAsia="Times New Roman" w:hAnsi="Times New Roman" w:cs="Times New Roman"/>
          <w:sz w:val="24"/>
        </w:rPr>
        <w:t xml:space="preserve">the </w:t>
      </w:r>
      <w:r w:rsidRPr="00C13429">
        <w:rPr>
          <w:rFonts w:ascii="Times New Roman" w:eastAsia="Times New Roman" w:hAnsi="Times New Roman" w:cs="Times New Roman"/>
          <w:sz w:val="24"/>
        </w:rPr>
        <w:t>literature</w:t>
      </w:r>
      <w:r w:rsidR="008E3FB9">
        <w:rPr>
          <w:rFonts w:ascii="Times New Roman" w:eastAsia="Times New Roman" w:hAnsi="Times New Roman" w:cs="Times New Roman"/>
          <w:sz w:val="24"/>
        </w:rPr>
        <w:t xml:space="preserve"> and</w:t>
      </w:r>
      <w:r w:rsidRPr="00C13429">
        <w:rPr>
          <w:rFonts w:ascii="Times New Roman" w:eastAsia="Times New Roman" w:hAnsi="Times New Roman" w:cs="Times New Roman"/>
          <w:sz w:val="24"/>
        </w:rPr>
        <w:t xml:space="preserve"> addressing these</w:t>
      </w:r>
      <w:r w:rsidR="008E3FB9">
        <w:rPr>
          <w:rFonts w:ascii="Times New Roman" w:eastAsia="Times New Roman" w:hAnsi="Times New Roman" w:cs="Times New Roman"/>
          <w:sz w:val="24"/>
        </w:rPr>
        <w:t xml:space="preserve"> issues</w:t>
      </w:r>
      <w:r w:rsidRPr="00C13429">
        <w:rPr>
          <w:rFonts w:ascii="Times New Roman" w:eastAsia="Times New Roman" w:hAnsi="Times New Roman" w:cs="Times New Roman"/>
          <w:sz w:val="24"/>
        </w:rPr>
        <w:t xml:space="preserve"> through course design, teaching materials and methods, </w:t>
      </w:r>
      <w:r w:rsidR="007D576F">
        <w:rPr>
          <w:rFonts w:ascii="Times New Roman" w:eastAsia="Times New Roman" w:hAnsi="Times New Roman" w:cs="Times New Roman"/>
          <w:sz w:val="24"/>
        </w:rPr>
        <w:t xml:space="preserve">the </w:t>
      </w:r>
      <w:r w:rsidRPr="00C13429">
        <w:rPr>
          <w:rFonts w:ascii="Times New Roman" w:eastAsia="Times New Roman" w:hAnsi="Times New Roman" w:cs="Times New Roman"/>
          <w:sz w:val="24"/>
        </w:rPr>
        <w:t>introduction of teaching aids</w:t>
      </w:r>
      <w:r w:rsidR="000B603B">
        <w:rPr>
          <w:rFonts w:ascii="Times New Roman" w:eastAsia="Times New Roman" w:hAnsi="Times New Roman" w:cs="Times New Roman"/>
          <w:sz w:val="24"/>
        </w:rPr>
        <w:t xml:space="preserve">, or application of </w:t>
      </w:r>
      <w:r w:rsidR="000B603B" w:rsidRPr="00C13429">
        <w:rPr>
          <w:rFonts w:ascii="Times New Roman" w:eastAsia="Times New Roman" w:hAnsi="Times New Roman" w:cs="Times New Roman"/>
          <w:sz w:val="24"/>
        </w:rPr>
        <w:t>technology</w:t>
      </w:r>
      <w:r w:rsidRPr="00C13429">
        <w:rPr>
          <w:rFonts w:ascii="Times New Roman" w:eastAsia="Times New Roman" w:hAnsi="Times New Roman" w:cs="Times New Roman"/>
          <w:sz w:val="24"/>
        </w:rPr>
        <w:t xml:space="preserve"> and media. This process involves the </w:t>
      </w:r>
      <w:r w:rsidR="00F03486">
        <w:rPr>
          <w:rFonts w:ascii="Times New Roman" w:eastAsia="Times New Roman" w:hAnsi="Times New Roman" w:cs="Times New Roman"/>
          <w:sz w:val="24"/>
        </w:rPr>
        <w:t>use</w:t>
      </w:r>
      <w:r w:rsidR="00F03486" w:rsidRPr="00C13429">
        <w:rPr>
          <w:rFonts w:ascii="Times New Roman" w:eastAsia="Times New Roman" w:hAnsi="Times New Roman" w:cs="Times New Roman"/>
          <w:sz w:val="24"/>
        </w:rPr>
        <w:t xml:space="preserve"> </w:t>
      </w:r>
      <w:r w:rsidRPr="00C13429">
        <w:rPr>
          <w:rFonts w:ascii="Times New Roman" w:eastAsia="Times New Roman" w:hAnsi="Times New Roman" w:cs="Times New Roman"/>
          <w:sz w:val="24"/>
        </w:rPr>
        <w:t xml:space="preserve">of </w:t>
      </w:r>
      <w:r w:rsidR="008E3FB9">
        <w:rPr>
          <w:rFonts w:ascii="Times New Roman" w:eastAsia="Times New Roman" w:hAnsi="Times New Roman" w:cs="Times New Roman"/>
          <w:sz w:val="24"/>
        </w:rPr>
        <w:t xml:space="preserve">adequate </w:t>
      </w:r>
      <w:r w:rsidRPr="00C13429">
        <w:rPr>
          <w:rFonts w:ascii="Times New Roman" w:eastAsia="Times New Roman" w:hAnsi="Times New Roman" w:cs="Times New Roman"/>
          <w:sz w:val="24"/>
        </w:rPr>
        <w:t xml:space="preserve">research methods and evaluation tools to verify the effectiveness of </w:t>
      </w:r>
      <w:r w:rsidR="008E3FB9">
        <w:rPr>
          <w:rFonts w:ascii="Times New Roman" w:eastAsia="Times New Roman" w:hAnsi="Times New Roman" w:cs="Times New Roman"/>
          <w:sz w:val="24"/>
        </w:rPr>
        <w:t>the implemented teaching</w:t>
      </w:r>
      <w:r w:rsidR="008E3FB9" w:rsidRPr="00C13429">
        <w:rPr>
          <w:rFonts w:ascii="Times New Roman" w:eastAsia="Times New Roman" w:hAnsi="Times New Roman" w:cs="Times New Roman"/>
          <w:sz w:val="24"/>
        </w:rPr>
        <w:t xml:space="preserve"> </w:t>
      </w:r>
      <w:r w:rsidRPr="00C13429">
        <w:rPr>
          <w:rFonts w:ascii="Times New Roman" w:eastAsia="Times New Roman" w:hAnsi="Times New Roman" w:cs="Times New Roman"/>
          <w:sz w:val="24"/>
        </w:rPr>
        <w:t xml:space="preserve">interventions. </w:t>
      </w:r>
      <w:r w:rsidR="008E3FB9">
        <w:rPr>
          <w:rFonts w:ascii="Times New Roman" w:eastAsia="Times New Roman" w:hAnsi="Times New Roman" w:cs="Times New Roman"/>
          <w:sz w:val="24"/>
        </w:rPr>
        <w:t>Incentives specified in t</w:t>
      </w:r>
      <w:r w:rsidRPr="00C13429">
        <w:rPr>
          <w:rFonts w:ascii="Times New Roman" w:eastAsia="Times New Roman" w:hAnsi="Times New Roman" w:cs="Times New Roman"/>
          <w:sz w:val="24"/>
        </w:rPr>
        <w:t>he</w:t>
      </w:r>
      <w:r w:rsidR="008E3FB9">
        <w:rPr>
          <w:rFonts w:ascii="Times New Roman" w:eastAsia="Times New Roman" w:hAnsi="Times New Roman" w:cs="Times New Roman"/>
          <w:sz w:val="24"/>
        </w:rPr>
        <w:t xml:space="preserve"> Guidelines</w:t>
      </w:r>
      <w:r w:rsidRPr="00C13429">
        <w:rPr>
          <w:rFonts w:ascii="Times New Roman" w:eastAsia="Times New Roman" w:hAnsi="Times New Roman" w:cs="Times New Roman"/>
          <w:sz w:val="24"/>
        </w:rPr>
        <w:t xml:space="preserve"> </w:t>
      </w:r>
      <w:r w:rsidR="008E3FB9">
        <w:rPr>
          <w:rFonts w:ascii="Times New Roman" w:eastAsia="Times New Roman" w:hAnsi="Times New Roman" w:cs="Times New Roman"/>
          <w:sz w:val="24"/>
        </w:rPr>
        <w:t>are rewarded to</w:t>
      </w:r>
      <w:r w:rsidRPr="00C13429">
        <w:rPr>
          <w:rFonts w:ascii="Times New Roman" w:eastAsia="Times New Roman" w:hAnsi="Times New Roman" w:cs="Times New Roman"/>
          <w:sz w:val="24"/>
        </w:rPr>
        <w:t xml:space="preserve"> principal investigators who have applied for </w:t>
      </w:r>
      <w:r w:rsidR="008E3FB9">
        <w:rPr>
          <w:rFonts w:ascii="Times New Roman" w:eastAsia="Times New Roman" w:hAnsi="Times New Roman" w:cs="Times New Roman"/>
          <w:sz w:val="24"/>
        </w:rPr>
        <w:t xml:space="preserve">the Teaching Practice Program, </w:t>
      </w:r>
      <w:r w:rsidRPr="00C13429">
        <w:rPr>
          <w:rFonts w:ascii="Times New Roman" w:eastAsia="Times New Roman" w:hAnsi="Times New Roman" w:cs="Times New Roman"/>
          <w:sz w:val="24"/>
        </w:rPr>
        <w:t>received approval from the Ministry of Education</w:t>
      </w:r>
      <w:r w:rsidR="008E3FB9">
        <w:rPr>
          <w:rFonts w:ascii="Times New Roman" w:eastAsia="Times New Roman" w:hAnsi="Times New Roman" w:cs="Times New Roman"/>
          <w:sz w:val="24"/>
        </w:rPr>
        <w:t>, and</w:t>
      </w:r>
      <w:r w:rsidRPr="00C13429">
        <w:rPr>
          <w:rFonts w:ascii="Times New Roman" w:eastAsia="Times New Roman" w:hAnsi="Times New Roman" w:cs="Times New Roman"/>
          <w:sz w:val="24"/>
        </w:rPr>
        <w:t xml:space="preserve"> agreed to implement the </w:t>
      </w:r>
      <w:r w:rsidR="008E3FB9">
        <w:rPr>
          <w:rFonts w:ascii="Times New Roman" w:eastAsia="Times New Roman" w:hAnsi="Times New Roman" w:cs="Times New Roman"/>
          <w:sz w:val="24"/>
        </w:rPr>
        <w:t>program</w:t>
      </w:r>
      <w:r w:rsidRPr="00C13429">
        <w:rPr>
          <w:rFonts w:ascii="Times New Roman" w:eastAsia="Times New Roman" w:hAnsi="Times New Roman" w:cs="Times New Roman"/>
          <w:sz w:val="24"/>
        </w:rPr>
        <w:t>.</w:t>
      </w:r>
    </w:p>
    <w:p w14:paraId="0E796DC0" w14:textId="08DCF552" w:rsidR="00C13429" w:rsidRPr="0002354F" w:rsidRDefault="00C13429" w:rsidP="0002354F">
      <w:pPr>
        <w:spacing w:after="153" w:line="276" w:lineRule="auto"/>
        <w:ind w:left="1104" w:hangingChars="460" w:hanging="1104"/>
        <w:jc w:val="both"/>
        <w:rPr>
          <w:rFonts w:ascii="Times New Roman" w:eastAsia="Times New Roman" w:hAnsi="Times New Roman" w:cs="Times New Roman"/>
          <w:sz w:val="24"/>
        </w:rPr>
      </w:pPr>
      <w:r w:rsidRPr="0002354F">
        <w:rPr>
          <w:rFonts w:ascii="Times New Roman" w:eastAsia="Times New Roman" w:hAnsi="Times New Roman" w:cs="Times New Roman"/>
          <w:sz w:val="24"/>
        </w:rPr>
        <w:t xml:space="preserve">Article 3  </w:t>
      </w:r>
      <w:r w:rsidR="0002354F">
        <w:rPr>
          <w:rFonts w:ascii="Times New Roman" w:eastAsia="Times New Roman" w:hAnsi="Times New Roman" w:cs="Times New Roman"/>
          <w:sz w:val="24"/>
        </w:rPr>
        <w:t xml:space="preserve">  </w:t>
      </w:r>
      <w:r w:rsidRPr="0002354F">
        <w:rPr>
          <w:rFonts w:ascii="Times New Roman" w:eastAsia="Times New Roman" w:hAnsi="Times New Roman" w:cs="Times New Roman"/>
          <w:sz w:val="24"/>
        </w:rPr>
        <w:t xml:space="preserve">To further encourage </w:t>
      </w:r>
      <w:r w:rsidR="008E3FB9" w:rsidRPr="0002354F">
        <w:rPr>
          <w:rFonts w:ascii="Times New Roman" w:eastAsia="Times New Roman" w:hAnsi="Times New Roman" w:cs="Times New Roman"/>
          <w:sz w:val="24"/>
        </w:rPr>
        <w:t xml:space="preserve">faculty </w:t>
      </w:r>
      <w:r w:rsidRPr="0002354F">
        <w:rPr>
          <w:rFonts w:ascii="Times New Roman" w:eastAsia="Times New Roman" w:hAnsi="Times New Roman" w:cs="Times New Roman"/>
          <w:sz w:val="24"/>
        </w:rPr>
        <w:t xml:space="preserve">to </w:t>
      </w:r>
      <w:r w:rsidR="008E3FB9" w:rsidRPr="0002354F">
        <w:rPr>
          <w:rFonts w:ascii="Times New Roman" w:eastAsia="Times New Roman" w:hAnsi="Times New Roman" w:cs="Times New Roman"/>
          <w:sz w:val="24"/>
        </w:rPr>
        <w:t>pro</w:t>
      </w:r>
      <w:r w:rsidRPr="0002354F">
        <w:rPr>
          <w:rFonts w:ascii="Times New Roman" w:eastAsia="Times New Roman" w:hAnsi="Times New Roman" w:cs="Times New Roman"/>
          <w:sz w:val="24"/>
        </w:rPr>
        <w:t>actively apply for and implement</w:t>
      </w:r>
      <w:r w:rsidR="008E3FB9" w:rsidRPr="0002354F">
        <w:rPr>
          <w:rFonts w:ascii="Times New Roman" w:eastAsia="Times New Roman" w:hAnsi="Times New Roman" w:cs="Times New Roman"/>
          <w:sz w:val="24"/>
        </w:rPr>
        <w:t xml:space="preserve"> the Teaching Practice Program</w:t>
      </w:r>
      <w:r w:rsidRPr="0002354F">
        <w:rPr>
          <w:rFonts w:ascii="Times New Roman" w:eastAsia="Times New Roman" w:hAnsi="Times New Roman" w:cs="Times New Roman"/>
          <w:sz w:val="24"/>
        </w:rPr>
        <w:t xml:space="preserve">, the University will award incentive points to </w:t>
      </w:r>
      <w:r w:rsidR="008E3FB9" w:rsidRPr="0002354F">
        <w:rPr>
          <w:rFonts w:ascii="Times New Roman" w:eastAsia="Times New Roman" w:hAnsi="Times New Roman" w:cs="Times New Roman"/>
          <w:sz w:val="24"/>
        </w:rPr>
        <w:t xml:space="preserve">principal investigators </w:t>
      </w:r>
      <w:r w:rsidRPr="0002354F">
        <w:rPr>
          <w:rFonts w:ascii="Times New Roman" w:eastAsia="Times New Roman" w:hAnsi="Times New Roman" w:cs="Times New Roman"/>
          <w:sz w:val="24"/>
        </w:rPr>
        <w:t xml:space="preserve">after they have fully executed their </w:t>
      </w:r>
      <w:r w:rsidR="008E3FB9" w:rsidRPr="0002354F">
        <w:rPr>
          <w:rFonts w:ascii="Times New Roman" w:eastAsia="Times New Roman" w:hAnsi="Times New Roman" w:cs="Times New Roman"/>
          <w:sz w:val="24"/>
        </w:rPr>
        <w:t xml:space="preserve">programs </w:t>
      </w:r>
      <w:r w:rsidRPr="0002354F">
        <w:rPr>
          <w:rFonts w:ascii="Times New Roman" w:eastAsia="Times New Roman" w:hAnsi="Times New Roman" w:cs="Times New Roman"/>
          <w:sz w:val="24"/>
        </w:rPr>
        <w:t xml:space="preserve">and completed the necessary closing procedures. The incentive points will be awarded </w:t>
      </w:r>
      <w:r w:rsidR="008E3FB9" w:rsidRPr="0002354F">
        <w:rPr>
          <w:rFonts w:ascii="Times New Roman" w:eastAsia="Times New Roman" w:hAnsi="Times New Roman" w:cs="Times New Roman"/>
          <w:sz w:val="24"/>
        </w:rPr>
        <w:t>as per</w:t>
      </w:r>
      <w:r w:rsidRPr="0002354F">
        <w:rPr>
          <w:rFonts w:ascii="Times New Roman" w:eastAsia="Times New Roman" w:hAnsi="Times New Roman" w:cs="Times New Roman"/>
          <w:sz w:val="24"/>
        </w:rPr>
        <w:t xml:space="preserve"> the tiered system outlined in the </w:t>
      </w:r>
      <w:r w:rsidR="008E3FB9" w:rsidRPr="0002354F">
        <w:rPr>
          <w:rFonts w:ascii="Times New Roman" w:eastAsia="Times New Roman" w:hAnsi="Times New Roman" w:cs="Times New Roman"/>
          <w:sz w:val="24"/>
        </w:rPr>
        <w:t xml:space="preserve">following </w:t>
      </w:r>
      <w:r w:rsidRPr="0002354F">
        <w:rPr>
          <w:rFonts w:ascii="Times New Roman" w:eastAsia="Times New Roman" w:hAnsi="Times New Roman" w:cs="Times New Roman"/>
          <w:sz w:val="24"/>
        </w:rPr>
        <w:t>table</w:t>
      </w:r>
      <w:r w:rsidR="008E3FB9" w:rsidRPr="0002354F">
        <w:rPr>
          <w:rFonts w:ascii="Times New Roman" w:eastAsia="Times New Roman" w:hAnsi="Times New Roman" w:cs="Times New Roman"/>
          <w:sz w:val="24"/>
        </w:rPr>
        <w:t>.</w:t>
      </w:r>
      <w:r w:rsidRPr="0002354F">
        <w:rPr>
          <w:rFonts w:ascii="Times New Roman" w:eastAsia="Times New Roman" w:hAnsi="Times New Roman" w:cs="Times New Roman"/>
          <w:sz w:val="24"/>
        </w:rPr>
        <w:t xml:space="preserve"> If the </w:t>
      </w:r>
      <w:r w:rsidR="008E3FB9" w:rsidRPr="0002354F">
        <w:rPr>
          <w:rFonts w:ascii="Times New Roman" w:eastAsia="Times New Roman" w:hAnsi="Times New Roman" w:cs="Times New Roman"/>
          <w:sz w:val="24"/>
        </w:rPr>
        <w:t xml:space="preserve">program of </w:t>
      </w:r>
      <w:r w:rsidR="002A0A9E" w:rsidRPr="0002354F">
        <w:rPr>
          <w:rFonts w:ascii="Times New Roman" w:eastAsia="Times New Roman" w:hAnsi="Times New Roman" w:cs="Times New Roman"/>
          <w:sz w:val="24"/>
        </w:rPr>
        <w:t xml:space="preserve">a principal investigator </w:t>
      </w:r>
      <w:r w:rsidRPr="0002354F">
        <w:rPr>
          <w:rFonts w:ascii="Times New Roman" w:eastAsia="Times New Roman" w:hAnsi="Times New Roman" w:cs="Times New Roman"/>
          <w:sz w:val="24"/>
        </w:rPr>
        <w:t xml:space="preserve">is approved as a multiyear project by the Ministry of Education, the incentive points will be distributed annually </w:t>
      </w:r>
      <w:r w:rsidR="002A0A9E" w:rsidRPr="0002354F">
        <w:rPr>
          <w:rFonts w:ascii="Times New Roman" w:eastAsia="Times New Roman" w:hAnsi="Times New Roman" w:cs="Times New Roman"/>
          <w:sz w:val="24"/>
        </w:rPr>
        <w:t xml:space="preserve">on the basis of </w:t>
      </w:r>
      <w:r w:rsidRPr="0002354F">
        <w:rPr>
          <w:rFonts w:ascii="Times New Roman" w:eastAsia="Times New Roman" w:hAnsi="Times New Roman" w:cs="Times New Roman"/>
          <w:sz w:val="24"/>
        </w:rPr>
        <w:t>the approved pro</w:t>
      </w:r>
      <w:r w:rsidR="002A0A9E" w:rsidRPr="0002354F">
        <w:rPr>
          <w:rFonts w:ascii="Times New Roman" w:eastAsia="Times New Roman" w:hAnsi="Times New Roman" w:cs="Times New Roman"/>
          <w:sz w:val="24"/>
        </w:rPr>
        <w:t>gram</w:t>
      </w:r>
      <w:r w:rsidRPr="0002354F">
        <w:rPr>
          <w:rFonts w:ascii="Times New Roman" w:eastAsia="Times New Roman" w:hAnsi="Times New Roman" w:cs="Times New Roman"/>
          <w:sz w:val="24"/>
        </w:rPr>
        <w:t xml:space="preserve"> funding for each year.</w:t>
      </w:r>
    </w:p>
    <w:tbl>
      <w:tblPr>
        <w:tblStyle w:val="TableGrid"/>
        <w:tblW w:w="8525" w:type="dxa"/>
        <w:tblInd w:w="1085" w:type="dxa"/>
        <w:tblCellMar>
          <w:left w:w="108" w:type="dxa"/>
          <w:right w:w="115" w:type="dxa"/>
        </w:tblCellMar>
        <w:tblLook w:val="04A0" w:firstRow="1" w:lastRow="0" w:firstColumn="1" w:lastColumn="0" w:noHBand="0" w:noVBand="1"/>
      </w:tblPr>
      <w:tblGrid>
        <w:gridCol w:w="1926"/>
        <w:gridCol w:w="4538"/>
        <w:gridCol w:w="2061"/>
      </w:tblGrid>
      <w:tr w:rsidR="003C7EA5" w:rsidRPr="00C13429" w14:paraId="57CBEF65" w14:textId="77777777" w:rsidTr="0002354F">
        <w:trPr>
          <w:trHeight w:val="557"/>
        </w:trPr>
        <w:tc>
          <w:tcPr>
            <w:tcW w:w="1926" w:type="dxa"/>
            <w:tcBorders>
              <w:top w:val="single" w:sz="4" w:space="0" w:color="000000"/>
              <w:left w:val="single" w:sz="4" w:space="0" w:color="000000"/>
              <w:bottom w:val="single" w:sz="4" w:space="0" w:color="000000"/>
              <w:right w:val="single" w:sz="4" w:space="0" w:color="000000"/>
            </w:tcBorders>
            <w:vAlign w:val="center"/>
          </w:tcPr>
          <w:p w14:paraId="7CEB5A77" w14:textId="6DD51543" w:rsidR="003C7EA5" w:rsidRPr="00C13429" w:rsidRDefault="002A0A9E" w:rsidP="0002354F">
            <w:pPr>
              <w:spacing w:after="0"/>
              <w:ind w:left="7"/>
              <w:jc w:val="center"/>
              <w:rPr>
                <w:rFonts w:ascii="Times New Roman" w:hAnsi="Times New Roman" w:cs="Times New Roman"/>
              </w:rPr>
            </w:pPr>
            <w:r>
              <w:rPr>
                <w:rFonts w:ascii="Times New Roman" w:eastAsia="DFKai-SB" w:hAnsi="Times New Roman" w:cs="Times New Roman" w:hint="eastAsia"/>
                <w:sz w:val="24"/>
              </w:rPr>
              <w:t>T</w:t>
            </w:r>
            <w:r>
              <w:rPr>
                <w:rFonts w:ascii="Times New Roman" w:eastAsia="DFKai-SB" w:hAnsi="Times New Roman" w:cs="Times New Roman"/>
                <w:sz w:val="24"/>
              </w:rPr>
              <w:t>ier</w:t>
            </w:r>
          </w:p>
        </w:tc>
        <w:tc>
          <w:tcPr>
            <w:tcW w:w="4538" w:type="dxa"/>
            <w:tcBorders>
              <w:top w:val="single" w:sz="4" w:space="0" w:color="000000"/>
              <w:left w:val="single" w:sz="4" w:space="0" w:color="000000"/>
              <w:bottom w:val="single" w:sz="4" w:space="0" w:color="000000"/>
              <w:right w:val="single" w:sz="4" w:space="0" w:color="000000"/>
            </w:tcBorders>
            <w:vAlign w:val="center"/>
          </w:tcPr>
          <w:p w14:paraId="6BFA9571" w14:textId="69618AD0" w:rsidR="003C7EA5" w:rsidRPr="00C13429" w:rsidRDefault="002A0A9E" w:rsidP="0002354F">
            <w:pPr>
              <w:spacing w:after="0"/>
              <w:jc w:val="center"/>
              <w:rPr>
                <w:rFonts w:ascii="Times New Roman" w:hAnsi="Times New Roman" w:cs="Times New Roman"/>
              </w:rPr>
            </w:pPr>
            <w:r w:rsidRPr="002A0A9E">
              <w:rPr>
                <w:rFonts w:ascii="Times New Roman" w:eastAsia="DFKai-SB" w:hAnsi="Times New Roman" w:cs="Times New Roman"/>
                <w:sz w:val="24"/>
              </w:rPr>
              <w:t xml:space="preserve">Annual </w:t>
            </w:r>
            <w:r w:rsidR="00C15B7F">
              <w:rPr>
                <w:rFonts w:ascii="Times New Roman" w:eastAsia="DFKai-SB" w:hAnsi="Times New Roman" w:cs="Times New Roman"/>
                <w:sz w:val="24"/>
              </w:rPr>
              <w:t>f</w:t>
            </w:r>
            <w:r w:rsidRPr="002A0A9E">
              <w:rPr>
                <w:rFonts w:ascii="Times New Roman" w:eastAsia="DFKai-SB" w:hAnsi="Times New Roman" w:cs="Times New Roman"/>
                <w:sz w:val="24"/>
              </w:rPr>
              <w:t xml:space="preserve">unding </w:t>
            </w:r>
            <w:r w:rsidR="00C15B7F">
              <w:rPr>
                <w:rFonts w:ascii="Times New Roman" w:eastAsia="DFKai-SB" w:hAnsi="Times New Roman" w:cs="Times New Roman"/>
                <w:sz w:val="24"/>
              </w:rPr>
              <w:t>a</w:t>
            </w:r>
            <w:r w:rsidRPr="002A0A9E">
              <w:rPr>
                <w:rFonts w:ascii="Times New Roman" w:eastAsia="DFKai-SB" w:hAnsi="Times New Roman" w:cs="Times New Roman"/>
                <w:sz w:val="24"/>
              </w:rPr>
              <w:t>pproved by the Ministry of Education</w:t>
            </w:r>
          </w:p>
        </w:tc>
        <w:tc>
          <w:tcPr>
            <w:tcW w:w="2061" w:type="dxa"/>
            <w:tcBorders>
              <w:top w:val="single" w:sz="4" w:space="0" w:color="000000"/>
              <w:left w:val="single" w:sz="4" w:space="0" w:color="000000"/>
              <w:bottom w:val="single" w:sz="4" w:space="0" w:color="000000"/>
              <w:right w:val="single" w:sz="4" w:space="0" w:color="000000"/>
            </w:tcBorders>
            <w:vAlign w:val="center"/>
          </w:tcPr>
          <w:p w14:paraId="074406F7" w14:textId="11547CFC" w:rsidR="003C7EA5" w:rsidRPr="00C13429" w:rsidRDefault="002A0A9E" w:rsidP="0002354F">
            <w:pPr>
              <w:spacing w:after="0"/>
              <w:ind w:left="120"/>
              <w:jc w:val="center"/>
              <w:rPr>
                <w:rFonts w:ascii="Times New Roman" w:hAnsi="Times New Roman" w:cs="Times New Roman"/>
              </w:rPr>
            </w:pPr>
            <w:r>
              <w:rPr>
                <w:rFonts w:ascii="Times New Roman" w:eastAsia="DFKai-SB" w:hAnsi="Times New Roman" w:cs="Times New Roman" w:hint="eastAsia"/>
                <w:sz w:val="24"/>
              </w:rPr>
              <w:t>I</w:t>
            </w:r>
            <w:r>
              <w:rPr>
                <w:rFonts w:ascii="Times New Roman" w:eastAsia="DFKai-SB" w:hAnsi="Times New Roman" w:cs="Times New Roman"/>
                <w:sz w:val="24"/>
              </w:rPr>
              <w:t>ncentive points</w:t>
            </w:r>
          </w:p>
        </w:tc>
      </w:tr>
      <w:tr w:rsidR="002A0A9E" w:rsidRPr="00C13429" w14:paraId="15952C27" w14:textId="77777777" w:rsidTr="0002354F">
        <w:trPr>
          <w:trHeight w:val="555"/>
        </w:trPr>
        <w:tc>
          <w:tcPr>
            <w:tcW w:w="1926" w:type="dxa"/>
            <w:tcBorders>
              <w:top w:val="single" w:sz="4" w:space="0" w:color="000000"/>
              <w:left w:val="single" w:sz="4" w:space="0" w:color="000000"/>
              <w:bottom w:val="single" w:sz="4" w:space="0" w:color="000000"/>
              <w:right w:val="single" w:sz="4" w:space="0" w:color="000000"/>
            </w:tcBorders>
            <w:vAlign w:val="center"/>
          </w:tcPr>
          <w:p w14:paraId="45ABE256" w14:textId="366B53CB" w:rsidR="002A0A9E" w:rsidRPr="002A0A9E" w:rsidRDefault="002A0A9E" w:rsidP="0002354F">
            <w:pPr>
              <w:spacing w:after="0"/>
              <w:ind w:left="5"/>
              <w:jc w:val="center"/>
              <w:rPr>
                <w:rFonts w:ascii="Times New Roman" w:hAnsi="Times New Roman" w:cs="Times New Roman"/>
                <w:sz w:val="24"/>
                <w:szCs w:val="24"/>
              </w:rPr>
            </w:pPr>
            <w:r w:rsidRPr="002A0A9E">
              <w:rPr>
                <w:rFonts w:ascii="Times New Roman" w:hAnsi="Times New Roman" w:cs="Times New Roman"/>
                <w:sz w:val="24"/>
                <w:szCs w:val="24"/>
              </w:rPr>
              <w:t>A</w:t>
            </w:r>
          </w:p>
        </w:tc>
        <w:tc>
          <w:tcPr>
            <w:tcW w:w="4538" w:type="dxa"/>
            <w:tcBorders>
              <w:top w:val="single" w:sz="4" w:space="0" w:color="000000"/>
              <w:left w:val="single" w:sz="4" w:space="0" w:color="000000"/>
              <w:bottom w:val="single" w:sz="4" w:space="0" w:color="000000"/>
              <w:right w:val="single" w:sz="4" w:space="0" w:color="000000"/>
            </w:tcBorders>
            <w:vAlign w:val="center"/>
          </w:tcPr>
          <w:p w14:paraId="6E16E59D" w14:textId="1F1EEE74" w:rsidR="002A0A9E" w:rsidRPr="002A0A9E" w:rsidRDefault="002A0A9E" w:rsidP="0002354F">
            <w:pPr>
              <w:spacing w:after="0"/>
              <w:jc w:val="center"/>
              <w:rPr>
                <w:rFonts w:ascii="Times New Roman" w:hAnsi="Times New Roman" w:cs="Times New Roman"/>
                <w:sz w:val="24"/>
                <w:szCs w:val="24"/>
              </w:rPr>
            </w:pPr>
            <w:r w:rsidRPr="002A0A9E">
              <w:rPr>
                <w:rFonts w:ascii="Times New Roman" w:hAnsi="Times New Roman" w:cs="Times New Roman"/>
                <w:sz w:val="24"/>
                <w:szCs w:val="24"/>
              </w:rPr>
              <w:t>Above NT$350,000</w:t>
            </w:r>
          </w:p>
        </w:tc>
        <w:tc>
          <w:tcPr>
            <w:tcW w:w="2061" w:type="dxa"/>
            <w:tcBorders>
              <w:top w:val="single" w:sz="4" w:space="0" w:color="000000"/>
              <w:left w:val="single" w:sz="4" w:space="0" w:color="000000"/>
              <w:bottom w:val="single" w:sz="4" w:space="0" w:color="000000"/>
              <w:right w:val="single" w:sz="4" w:space="0" w:color="000000"/>
            </w:tcBorders>
            <w:vAlign w:val="center"/>
          </w:tcPr>
          <w:p w14:paraId="7F73B935" w14:textId="121EF5F5" w:rsidR="002A0A9E" w:rsidRPr="002A0A9E" w:rsidRDefault="002A0A9E" w:rsidP="0002354F">
            <w:pPr>
              <w:spacing w:after="0"/>
              <w:ind w:left="4"/>
              <w:jc w:val="center"/>
              <w:rPr>
                <w:rFonts w:ascii="Times New Roman" w:hAnsi="Times New Roman" w:cs="Times New Roman"/>
                <w:sz w:val="24"/>
                <w:szCs w:val="24"/>
              </w:rPr>
            </w:pPr>
            <w:r w:rsidRPr="002A0A9E">
              <w:rPr>
                <w:rFonts w:ascii="Times New Roman" w:hAnsi="Times New Roman" w:cs="Times New Roman"/>
                <w:sz w:val="24"/>
                <w:szCs w:val="24"/>
              </w:rPr>
              <w:t>80 points</w:t>
            </w:r>
          </w:p>
        </w:tc>
      </w:tr>
      <w:tr w:rsidR="002A0A9E" w:rsidRPr="00C13429" w14:paraId="3DBE0777" w14:textId="77777777" w:rsidTr="0002354F">
        <w:trPr>
          <w:trHeight w:val="557"/>
        </w:trPr>
        <w:tc>
          <w:tcPr>
            <w:tcW w:w="1926" w:type="dxa"/>
            <w:tcBorders>
              <w:top w:val="single" w:sz="4" w:space="0" w:color="000000"/>
              <w:left w:val="single" w:sz="4" w:space="0" w:color="000000"/>
              <w:bottom w:val="single" w:sz="4" w:space="0" w:color="000000"/>
              <w:right w:val="single" w:sz="4" w:space="0" w:color="000000"/>
            </w:tcBorders>
            <w:vAlign w:val="center"/>
          </w:tcPr>
          <w:p w14:paraId="16CB9E6D" w14:textId="713F0FBE" w:rsidR="002A0A9E" w:rsidRPr="002A0A9E" w:rsidRDefault="002A0A9E" w:rsidP="0002354F">
            <w:pPr>
              <w:spacing w:after="0"/>
              <w:ind w:left="7"/>
              <w:jc w:val="center"/>
              <w:rPr>
                <w:rFonts w:ascii="Times New Roman" w:hAnsi="Times New Roman" w:cs="Times New Roman"/>
                <w:sz w:val="24"/>
                <w:szCs w:val="24"/>
              </w:rPr>
            </w:pPr>
            <w:r w:rsidRPr="002A0A9E">
              <w:rPr>
                <w:rFonts w:ascii="Times New Roman" w:hAnsi="Times New Roman" w:cs="Times New Roman"/>
                <w:sz w:val="24"/>
                <w:szCs w:val="24"/>
              </w:rPr>
              <w:t>B</w:t>
            </w:r>
          </w:p>
        </w:tc>
        <w:tc>
          <w:tcPr>
            <w:tcW w:w="4538" w:type="dxa"/>
            <w:tcBorders>
              <w:top w:val="single" w:sz="4" w:space="0" w:color="000000"/>
              <w:left w:val="single" w:sz="4" w:space="0" w:color="000000"/>
              <w:bottom w:val="single" w:sz="4" w:space="0" w:color="000000"/>
              <w:right w:val="single" w:sz="4" w:space="0" w:color="000000"/>
            </w:tcBorders>
            <w:vAlign w:val="center"/>
          </w:tcPr>
          <w:p w14:paraId="1C896F4D" w14:textId="2C512265" w:rsidR="002A0A9E" w:rsidRPr="002A0A9E" w:rsidRDefault="002A0A9E" w:rsidP="0002354F">
            <w:pPr>
              <w:spacing w:after="0"/>
              <w:jc w:val="center"/>
              <w:rPr>
                <w:rFonts w:ascii="Times New Roman" w:hAnsi="Times New Roman" w:cs="Times New Roman"/>
                <w:sz w:val="24"/>
                <w:szCs w:val="24"/>
              </w:rPr>
            </w:pPr>
            <w:r w:rsidRPr="002A0A9E">
              <w:rPr>
                <w:rFonts w:ascii="Times New Roman" w:hAnsi="Times New Roman" w:cs="Times New Roman"/>
                <w:sz w:val="24"/>
                <w:szCs w:val="24"/>
              </w:rPr>
              <w:t>Between NT$250,000 and NT$350,000</w:t>
            </w:r>
          </w:p>
        </w:tc>
        <w:tc>
          <w:tcPr>
            <w:tcW w:w="2061" w:type="dxa"/>
            <w:tcBorders>
              <w:top w:val="single" w:sz="4" w:space="0" w:color="000000"/>
              <w:left w:val="single" w:sz="4" w:space="0" w:color="000000"/>
              <w:bottom w:val="single" w:sz="4" w:space="0" w:color="000000"/>
              <w:right w:val="single" w:sz="4" w:space="0" w:color="000000"/>
            </w:tcBorders>
            <w:vAlign w:val="center"/>
          </w:tcPr>
          <w:p w14:paraId="5F7F9D2F" w14:textId="5AFB8E63" w:rsidR="002A0A9E" w:rsidRPr="002A0A9E" w:rsidRDefault="002A0A9E" w:rsidP="0002354F">
            <w:pPr>
              <w:spacing w:after="0"/>
              <w:ind w:left="4"/>
              <w:jc w:val="center"/>
              <w:rPr>
                <w:rFonts w:ascii="Times New Roman" w:hAnsi="Times New Roman" w:cs="Times New Roman"/>
                <w:sz w:val="24"/>
                <w:szCs w:val="24"/>
              </w:rPr>
            </w:pPr>
            <w:r w:rsidRPr="002A0A9E">
              <w:rPr>
                <w:rFonts w:ascii="Times New Roman" w:hAnsi="Times New Roman" w:cs="Times New Roman"/>
                <w:sz w:val="24"/>
                <w:szCs w:val="24"/>
              </w:rPr>
              <w:t>60 points</w:t>
            </w:r>
          </w:p>
        </w:tc>
      </w:tr>
      <w:tr w:rsidR="002A0A9E" w:rsidRPr="00C13429" w14:paraId="699B91A3" w14:textId="77777777" w:rsidTr="0002354F">
        <w:trPr>
          <w:trHeight w:val="557"/>
        </w:trPr>
        <w:tc>
          <w:tcPr>
            <w:tcW w:w="1926" w:type="dxa"/>
            <w:tcBorders>
              <w:top w:val="single" w:sz="4" w:space="0" w:color="000000"/>
              <w:left w:val="single" w:sz="4" w:space="0" w:color="000000"/>
              <w:bottom w:val="single" w:sz="4" w:space="0" w:color="000000"/>
              <w:right w:val="single" w:sz="4" w:space="0" w:color="000000"/>
            </w:tcBorders>
            <w:vAlign w:val="center"/>
          </w:tcPr>
          <w:p w14:paraId="3E312F94" w14:textId="07B86867" w:rsidR="002A0A9E" w:rsidRPr="002A0A9E" w:rsidRDefault="002A0A9E" w:rsidP="0002354F">
            <w:pPr>
              <w:spacing w:after="0"/>
              <w:ind w:left="7"/>
              <w:jc w:val="center"/>
              <w:rPr>
                <w:rFonts w:ascii="Times New Roman" w:hAnsi="Times New Roman" w:cs="Times New Roman"/>
                <w:sz w:val="24"/>
                <w:szCs w:val="24"/>
              </w:rPr>
            </w:pPr>
            <w:r w:rsidRPr="002A0A9E">
              <w:rPr>
                <w:rFonts w:ascii="Times New Roman" w:hAnsi="Times New Roman" w:cs="Times New Roman"/>
                <w:sz w:val="24"/>
                <w:szCs w:val="24"/>
              </w:rPr>
              <w:t>C</w:t>
            </w:r>
          </w:p>
        </w:tc>
        <w:tc>
          <w:tcPr>
            <w:tcW w:w="4538" w:type="dxa"/>
            <w:tcBorders>
              <w:top w:val="single" w:sz="4" w:space="0" w:color="000000"/>
              <w:left w:val="single" w:sz="4" w:space="0" w:color="000000"/>
              <w:bottom w:val="single" w:sz="4" w:space="0" w:color="000000"/>
              <w:right w:val="single" w:sz="4" w:space="0" w:color="000000"/>
            </w:tcBorders>
            <w:vAlign w:val="center"/>
          </w:tcPr>
          <w:p w14:paraId="7FFB2850" w14:textId="707BB546" w:rsidR="002A0A9E" w:rsidRPr="002A0A9E" w:rsidRDefault="002A0A9E" w:rsidP="0002354F">
            <w:pPr>
              <w:spacing w:after="0"/>
              <w:jc w:val="center"/>
              <w:rPr>
                <w:rFonts w:ascii="Times New Roman" w:hAnsi="Times New Roman" w:cs="Times New Roman"/>
                <w:sz w:val="24"/>
                <w:szCs w:val="24"/>
              </w:rPr>
            </w:pPr>
            <w:r w:rsidRPr="002A0A9E">
              <w:rPr>
                <w:rFonts w:ascii="Times New Roman" w:hAnsi="Times New Roman" w:cs="Times New Roman"/>
                <w:sz w:val="24"/>
                <w:szCs w:val="24"/>
              </w:rPr>
              <w:t>Below NT$250,000</w:t>
            </w:r>
          </w:p>
        </w:tc>
        <w:tc>
          <w:tcPr>
            <w:tcW w:w="2061" w:type="dxa"/>
            <w:tcBorders>
              <w:top w:val="single" w:sz="4" w:space="0" w:color="000000"/>
              <w:left w:val="single" w:sz="4" w:space="0" w:color="000000"/>
              <w:bottom w:val="single" w:sz="4" w:space="0" w:color="000000"/>
              <w:right w:val="single" w:sz="4" w:space="0" w:color="000000"/>
            </w:tcBorders>
            <w:vAlign w:val="center"/>
          </w:tcPr>
          <w:p w14:paraId="61468650" w14:textId="290EA8FB" w:rsidR="002A0A9E" w:rsidRPr="002A0A9E" w:rsidRDefault="002A0A9E" w:rsidP="0002354F">
            <w:pPr>
              <w:spacing w:after="0"/>
              <w:ind w:left="4"/>
              <w:jc w:val="center"/>
              <w:rPr>
                <w:rFonts w:ascii="Times New Roman" w:hAnsi="Times New Roman" w:cs="Times New Roman"/>
                <w:sz w:val="24"/>
                <w:szCs w:val="24"/>
              </w:rPr>
            </w:pPr>
            <w:r w:rsidRPr="002A0A9E">
              <w:rPr>
                <w:rFonts w:ascii="Times New Roman" w:hAnsi="Times New Roman" w:cs="Times New Roman"/>
                <w:sz w:val="24"/>
                <w:szCs w:val="24"/>
              </w:rPr>
              <w:t>40 points</w:t>
            </w:r>
          </w:p>
        </w:tc>
      </w:tr>
    </w:tbl>
    <w:p w14:paraId="6D595AD5" w14:textId="18500D33" w:rsidR="00562F6C" w:rsidRPr="0002354F" w:rsidRDefault="00657075" w:rsidP="0002354F">
      <w:pPr>
        <w:spacing w:beforeLines="100" w:before="240" w:after="153" w:line="276" w:lineRule="auto"/>
        <w:ind w:left="1162" w:hangingChars="484" w:hanging="1162"/>
        <w:jc w:val="both"/>
        <w:rPr>
          <w:rFonts w:ascii="Times New Roman" w:eastAsia="Times New Roman" w:hAnsi="Times New Roman" w:cs="Times New Roman"/>
          <w:sz w:val="24"/>
        </w:rPr>
      </w:pPr>
      <w:r w:rsidRPr="0002354F">
        <w:rPr>
          <w:rFonts w:ascii="Times New Roman" w:eastAsia="Times New Roman" w:hAnsi="Times New Roman" w:cs="Times New Roman"/>
          <w:sz w:val="24"/>
        </w:rPr>
        <w:t xml:space="preserve">Article 4 </w:t>
      </w:r>
      <w:r w:rsidR="0002354F">
        <w:rPr>
          <w:rFonts w:ascii="Times New Roman" w:eastAsia="Times New Roman" w:hAnsi="Times New Roman" w:cs="Times New Roman"/>
          <w:sz w:val="24"/>
        </w:rPr>
        <w:t xml:space="preserve">  </w:t>
      </w:r>
      <w:r w:rsidRPr="0002354F">
        <w:rPr>
          <w:rFonts w:ascii="Times New Roman" w:eastAsia="Times New Roman" w:hAnsi="Times New Roman" w:cs="Times New Roman"/>
          <w:sz w:val="24"/>
        </w:rPr>
        <w:t xml:space="preserve">If the principal investigator applies for an extension of the program period from the Ministry of Education, the incentive points will be awarded after the extended period has ended and the principal investigator has completed the necessary closing procedures. However, if the principal investigator suspends the program during the implementation period for any reason, or if changes to the program content (such as adjustments to </w:t>
      </w:r>
      <w:r w:rsidRPr="0002354F">
        <w:rPr>
          <w:rFonts w:ascii="Times New Roman" w:eastAsia="Times New Roman" w:hAnsi="Times New Roman" w:cs="Times New Roman"/>
          <w:sz w:val="24"/>
        </w:rPr>
        <w:lastRenderedPageBreak/>
        <w:t xml:space="preserve">courses, target audiences, research methods, execution methods, </w:t>
      </w:r>
      <w:r w:rsidR="007D576F">
        <w:rPr>
          <w:rFonts w:ascii="Times New Roman" w:eastAsia="Times New Roman" w:hAnsi="Times New Roman" w:cs="Times New Roman"/>
          <w:sz w:val="24"/>
        </w:rPr>
        <w:t xml:space="preserve">and </w:t>
      </w:r>
      <w:r w:rsidRPr="0002354F">
        <w:rPr>
          <w:rFonts w:ascii="Times New Roman" w:eastAsia="Times New Roman" w:hAnsi="Times New Roman" w:cs="Times New Roman"/>
          <w:sz w:val="24"/>
        </w:rPr>
        <w:t>funding) are made without following the required procedures during the program period and without obtaining approval from both the University and the Ministry of Education, the incentive points for that year will not be awarded.</w:t>
      </w:r>
    </w:p>
    <w:p w14:paraId="1C580457" w14:textId="6E3B2077" w:rsidR="00657075" w:rsidRPr="0002354F" w:rsidRDefault="00657075" w:rsidP="0002354F">
      <w:pPr>
        <w:spacing w:after="153" w:line="276" w:lineRule="auto"/>
        <w:ind w:left="1104" w:hangingChars="460" w:hanging="1104"/>
        <w:jc w:val="both"/>
        <w:rPr>
          <w:rFonts w:ascii="Times New Roman" w:eastAsia="Times New Roman" w:hAnsi="Times New Roman" w:cs="Times New Roman"/>
          <w:sz w:val="24"/>
        </w:rPr>
      </w:pPr>
      <w:r w:rsidRPr="0002354F">
        <w:rPr>
          <w:rFonts w:ascii="Times New Roman" w:eastAsia="Times New Roman" w:hAnsi="Times New Roman" w:cs="Times New Roman"/>
          <w:sz w:val="24"/>
        </w:rPr>
        <w:t xml:space="preserve">Article </w:t>
      </w:r>
      <w:proofErr w:type="gramStart"/>
      <w:r w:rsidRPr="0002354F">
        <w:rPr>
          <w:rFonts w:ascii="Times New Roman" w:eastAsia="Times New Roman" w:hAnsi="Times New Roman" w:cs="Times New Roman"/>
          <w:sz w:val="24"/>
        </w:rPr>
        <w:t>5  For</w:t>
      </w:r>
      <w:proofErr w:type="gramEnd"/>
      <w:r w:rsidRPr="0002354F">
        <w:rPr>
          <w:rFonts w:ascii="Times New Roman" w:eastAsia="Times New Roman" w:hAnsi="Times New Roman" w:cs="Times New Roman"/>
          <w:sz w:val="24"/>
        </w:rPr>
        <w:t xml:space="preserve"> programs that are selected as outstanding programs for the year by the Ministry of Education, the University will award an additional 40 incentive points to the principal investigator as encouragement.</w:t>
      </w:r>
    </w:p>
    <w:p w14:paraId="7F6C8E71" w14:textId="30355E79" w:rsidR="00657075" w:rsidRPr="00657075" w:rsidRDefault="00657075" w:rsidP="0002354F">
      <w:pPr>
        <w:spacing w:after="189" w:line="276" w:lineRule="auto"/>
        <w:ind w:left="950" w:hangingChars="396" w:hanging="950"/>
        <w:jc w:val="both"/>
        <w:rPr>
          <w:rFonts w:ascii="Times New Roman" w:hAnsi="Times New Roman" w:cs="Times New Roman"/>
          <w:sz w:val="24"/>
          <w:szCs w:val="24"/>
        </w:rPr>
      </w:pPr>
      <w:r w:rsidRPr="00657075">
        <w:rPr>
          <w:rFonts w:ascii="Times New Roman" w:hAnsi="Times New Roman" w:cs="Times New Roman"/>
          <w:sz w:val="24"/>
          <w:szCs w:val="24"/>
        </w:rPr>
        <w:t xml:space="preserve">Article </w:t>
      </w:r>
      <w:proofErr w:type="gramStart"/>
      <w:r w:rsidRPr="00657075">
        <w:rPr>
          <w:rFonts w:ascii="Times New Roman" w:hAnsi="Times New Roman" w:cs="Times New Roman"/>
          <w:sz w:val="24"/>
          <w:szCs w:val="24"/>
        </w:rPr>
        <w:t>6  The</w:t>
      </w:r>
      <w:proofErr w:type="gramEnd"/>
      <w:r w:rsidRPr="00657075">
        <w:rPr>
          <w:rFonts w:ascii="Times New Roman" w:hAnsi="Times New Roman" w:cs="Times New Roman"/>
          <w:sz w:val="24"/>
          <w:szCs w:val="24"/>
        </w:rPr>
        <w:t xml:space="preserve"> funds required for the implementation of </w:t>
      </w:r>
      <w:r>
        <w:rPr>
          <w:rFonts w:ascii="Times New Roman" w:hAnsi="Times New Roman" w:cs="Times New Roman"/>
          <w:sz w:val="24"/>
          <w:szCs w:val="24"/>
        </w:rPr>
        <w:t>the Guidelines</w:t>
      </w:r>
      <w:r w:rsidRPr="00657075">
        <w:rPr>
          <w:rFonts w:ascii="Times New Roman" w:hAnsi="Times New Roman" w:cs="Times New Roman"/>
          <w:sz w:val="24"/>
          <w:szCs w:val="24"/>
        </w:rPr>
        <w:t xml:space="preserve"> shall be sourced from the self-raised </w:t>
      </w:r>
      <w:r>
        <w:rPr>
          <w:rFonts w:ascii="Times New Roman" w:hAnsi="Times New Roman" w:cs="Times New Roman"/>
          <w:sz w:val="24"/>
          <w:szCs w:val="24"/>
        </w:rPr>
        <w:t>endowment fund of the University</w:t>
      </w:r>
      <w:r w:rsidRPr="00657075">
        <w:rPr>
          <w:rFonts w:ascii="Times New Roman" w:hAnsi="Times New Roman" w:cs="Times New Roman"/>
          <w:sz w:val="24"/>
          <w:szCs w:val="24"/>
        </w:rPr>
        <w:t xml:space="preserve"> or from </w:t>
      </w:r>
      <w:r w:rsidRPr="00677F40">
        <w:rPr>
          <w:rFonts w:ascii="Times New Roman" w:hAnsi="Times New Roman" w:cs="Times New Roman"/>
          <w:sz w:val="24"/>
          <w:szCs w:val="24"/>
          <w:u w:val="single"/>
        </w:rPr>
        <w:t>relevant funds approved by relevant governmental agencies</w:t>
      </w:r>
      <w:r w:rsidRPr="00657075">
        <w:rPr>
          <w:rFonts w:ascii="Times New Roman" w:hAnsi="Times New Roman" w:cs="Times New Roman"/>
          <w:sz w:val="24"/>
          <w:szCs w:val="24"/>
        </w:rPr>
        <w:t>.</w:t>
      </w:r>
    </w:p>
    <w:p w14:paraId="08906B3A" w14:textId="7B5C70D0" w:rsidR="00657075" w:rsidRPr="00657075" w:rsidRDefault="00657075" w:rsidP="0002354F">
      <w:pPr>
        <w:spacing w:after="189" w:line="276" w:lineRule="auto"/>
        <w:ind w:left="950" w:hangingChars="396" w:hanging="950"/>
        <w:jc w:val="both"/>
        <w:rPr>
          <w:rFonts w:ascii="Times New Roman" w:hAnsi="Times New Roman" w:cs="Times New Roman"/>
          <w:sz w:val="24"/>
          <w:szCs w:val="24"/>
        </w:rPr>
      </w:pPr>
      <w:r w:rsidRPr="00657075">
        <w:rPr>
          <w:rFonts w:ascii="Times New Roman" w:hAnsi="Times New Roman" w:cs="Times New Roman"/>
          <w:sz w:val="24"/>
          <w:szCs w:val="24"/>
        </w:rPr>
        <w:t xml:space="preserve">Article </w:t>
      </w:r>
      <w:proofErr w:type="gramStart"/>
      <w:r w:rsidRPr="00657075">
        <w:rPr>
          <w:rFonts w:ascii="Times New Roman" w:hAnsi="Times New Roman" w:cs="Times New Roman"/>
          <w:sz w:val="24"/>
          <w:szCs w:val="24"/>
        </w:rPr>
        <w:t>7  The</w:t>
      </w:r>
      <w:proofErr w:type="gramEnd"/>
      <w:r>
        <w:rPr>
          <w:rFonts w:ascii="Times New Roman" w:hAnsi="Times New Roman" w:cs="Times New Roman"/>
          <w:sz w:val="24"/>
          <w:szCs w:val="24"/>
        </w:rPr>
        <w:t xml:space="preserve"> Guidelines and any amendment thereto</w:t>
      </w:r>
      <w:r w:rsidRPr="00657075">
        <w:rPr>
          <w:rFonts w:ascii="Times New Roman" w:hAnsi="Times New Roman" w:cs="Times New Roman"/>
          <w:sz w:val="24"/>
          <w:szCs w:val="24"/>
        </w:rPr>
        <w:t xml:space="preserve"> shall be implemented </w:t>
      </w:r>
      <w:r w:rsidR="0001313C">
        <w:rPr>
          <w:rFonts w:ascii="Times New Roman" w:hAnsi="Times New Roman" w:cs="Times New Roman"/>
          <w:sz w:val="24"/>
          <w:szCs w:val="24"/>
        </w:rPr>
        <w:t>after</w:t>
      </w:r>
      <w:r w:rsidR="0001313C" w:rsidRPr="00657075">
        <w:rPr>
          <w:rFonts w:ascii="Times New Roman" w:hAnsi="Times New Roman" w:cs="Times New Roman"/>
          <w:sz w:val="24"/>
          <w:szCs w:val="24"/>
        </w:rPr>
        <w:t xml:space="preserve"> </w:t>
      </w:r>
      <w:r w:rsidRPr="00657075">
        <w:rPr>
          <w:rFonts w:ascii="Times New Roman" w:hAnsi="Times New Roman" w:cs="Times New Roman"/>
          <w:sz w:val="24"/>
          <w:szCs w:val="24"/>
        </w:rPr>
        <w:t xml:space="preserve">approval </w:t>
      </w:r>
      <w:r>
        <w:rPr>
          <w:rFonts w:ascii="Times New Roman" w:hAnsi="Times New Roman" w:cs="Times New Roman"/>
          <w:sz w:val="24"/>
          <w:szCs w:val="24"/>
        </w:rPr>
        <w:t>at</w:t>
      </w:r>
      <w:r w:rsidRPr="00657075">
        <w:rPr>
          <w:rFonts w:ascii="Times New Roman" w:hAnsi="Times New Roman" w:cs="Times New Roman"/>
          <w:sz w:val="24"/>
          <w:szCs w:val="24"/>
        </w:rPr>
        <w:t xml:space="preserve"> the Administrative Meeting.</w:t>
      </w:r>
    </w:p>
    <w:sectPr w:rsidR="00657075" w:rsidRPr="00657075" w:rsidSect="0002354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71A71" w14:textId="77777777" w:rsidR="00BE105E" w:rsidRDefault="00BE105E" w:rsidP="00860A82">
      <w:pPr>
        <w:spacing w:after="0" w:line="240" w:lineRule="auto"/>
      </w:pPr>
      <w:r>
        <w:separator/>
      </w:r>
    </w:p>
  </w:endnote>
  <w:endnote w:type="continuationSeparator" w:id="0">
    <w:p w14:paraId="15D0A188" w14:textId="77777777" w:rsidR="00BE105E" w:rsidRDefault="00BE105E" w:rsidP="00860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DFKai-SB">
    <w:altName w:val="標楷體"/>
    <w:panose1 w:val="03000509000000000000"/>
    <w:charset w:val="88"/>
    <w:family w:val="script"/>
    <w:pitch w:val="fixed"/>
    <w:sig w:usb0="F1002BFF" w:usb1="29DFFFFF" w:usb2="00000037" w:usb3="00000000" w:csb0="001000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2A766" w14:textId="77777777" w:rsidR="00BE105E" w:rsidRDefault="00BE105E" w:rsidP="00860A82">
      <w:pPr>
        <w:spacing w:after="0" w:line="240" w:lineRule="auto"/>
      </w:pPr>
      <w:r>
        <w:separator/>
      </w:r>
    </w:p>
  </w:footnote>
  <w:footnote w:type="continuationSeparator" w:id="0">
    <w:p w14:paraId="5C4E799B" w14:textId="77777777" w:rsidR="00BE105E" w:rsidRDefault="00BE105E" w:rsidP="00860A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bordersDoNotSurroundHeader/>
  <w:bordersDoNotSurroundFooter/>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EA5"/>
    <w:rsid w:val="0001313C"/>
    <w:rsid w:val="0002354F"/>
    <w:rsid w:val="00033855"/>
    <w:rsid w:val="000819AE"/>
    <w:rsid w:val="00094319"/>
    <w:rsid w:val="000B603B"/>
    <w:rsid w:val="001D55B3"/>
    <w:rsid w:val="00272A82"/>
    <w:rsid w:val="002A0A9E"/>
    <w:rsid w:val="002C4DC0"/>
    <w:rsid w:val="003A1A5C"/>
    <w:rsid w:val="003C7EA5"/>
    <w:rsid w:val="003E5314"/>
    <w:rsid w:val="004C3CA2"/>
    <w:rsid w:val="00556297"/>
    <w:rsid w:val="00562F6C"/>
    <w:rsid w:val="005A6732"/>
    <w:rsid w:val="00657075"/>
    <w:rsid w:val="00677F40"/>
    <w:rsid w:val="007A080C"/>
    <w:rsid w:val="007D576F"/>
    <w:rsid w:val="007F59E1"/>
    <w:rsid w:val="007F6CA7"/>
    <w:rsid w:val="00860A82"/>
    <w:rsid w:val="00873B1B"/>
    <w:rsid w:val="00894F5E"/>
    <w:rsid w:val="008D181A"/>
    <w:rsid w:val="008E3FB9"/>
    <w:rsid w:val="009F0A13"/>
    <w:rsid w:val="00A524B9"/>
    <w:rsid w:val="00B71D57"/>
    <w:rsid w:val="00BB1A20"/>
    <w:rsid w:val="00BE105E"/>
    <w:rsid w:val="00C13429"/>
    <w:rsid w:val="00C15B7F"/>
    <w:rsid w:val="00C27E3C"/>
    <w:rsid w:val="00C82BEA"/>
    <w:rsid w:val="00D4687A"/>
    <w:rsid w:val="00E17D00"/>
    <w:rsid w:val="00F03486"/>
    <w:rsid w:val="00FC2216"/>
    <w:rsid w:val="00FD2174"/>
    <w:rsid w:val="00FD49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4BF30"/>
  <w15:docId w15:val="{F012543E-4C93-4271-BA09-DAACE05F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860A8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860A82"/>
    <w:rPr>
      <w:rFonts w:ascii="Calibri" w:eastAsia="Calibri" w:hAnsi="Calibri" w:cs="Calibri"/>
      <w:color w:val="000000"/>
      <w:sz w:val="20"/>
      <w:szCs w:val="20"/>
    </w:rPr>
  </w:style>
  <w:style w:type="paragraph" w:styleId="Footer">
    <w:name w:val="footer"/>
    <w:basedOn w:val="Normal"/>
    <w:link w:val="FooterChar"/>
    <w:uiPriority w:val="99"/>
    <w:unhideWhenUsed/>
    <w:rsid w:val="00860A8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860A82"/>
    <w:rPr>
      <w:rFonts w:ascii="Calibri" w:eastAsia="Calibri" w:hAnsi="Calibri" w:cs="Calibri"/>
      <w:color w:val="000000"/>
      <w:sz w:val="20"/>
      <w:szCs w:val="20"/>
    </w:rPr>
  </w:style>
  <w:style w:type="paragraph" w:styleId="Revision">
    <w:name w:val="Revision"/>
    <w:hidden/>
    <w:uiPriority w:val="99"/>
    <w:semiHidden/>
    <w:rsid w:val="00C13429"/>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C13429"/>
    <w:rPr>
      <w:sz w:val="16"/>
      <w:szCs w:val="16"/>
    </w:rPr>
  </w:style>
  <w:style w:type="paragraph" w:styleId="CommentText">
    <w:name w:val="annotation text"/>
    <w:basedOn w:val="Normal"/>
    <w:link w:val="CommentTextChar"/>
    <w:uiPriority w:val="99"/>
    <w:unhideWhenUsed/>
    <w:rsid w:val="00C13429"/>
    <w:pPr>
      <w:spacing w:line="240" w:lineRule="auto"/>
    </w:pPr>
    <w:rPr>
      <w:sz w:val="20"/>
      <w:szCs w:val="20"/>
    </w:rPr>
  </w:style>
  <w:style w:type="character" w:customStyle="1" w:styleId="CommentTextChar">
    <w:name w:val="Comment Text Char"/>
    <w:basedOn w:val="DefaultParagraphFont"/>
    <w:link w:val="CommentText"/>
    <w:uiPriority w:val="99"/>
    <w:rsid w:val="00C1342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13429"/>
    <w:rPr>
      <w:b/>
      <w:bCs/>
    </w:rPr>
  </w:style>
  <w:style w:type="character" w:customStyle="1" w:styleId="CommentSubjectChar">
    <w:name w:val="Comment Subject Char"/>
    <w:basedOn w:val="CommentTextChar"/>
    <w:link w:val="CommentSubject"/>
    <w:uiPriority w:val="99"/>
    <w:semiHidden/>
    <w:rsid w:val="00C13429"/>
    <w:rPr>
      <w:rFonts w:ascii="Calibri" w:eastAsia="Calibri" w:hAnsi="Calibri" w:cs="Calibri"/>
      <w:b/>
      <w:bCs/>
      <w:color w:val="000000"/>
      <w:sz w:val="20"/>
      <w:szCs w:val="20"/>
    </w:rPr>
  </w:style>
  <w:style w:type="character" w:styleId="Hyperlink">
    <w:name w:val="Hyperlink"/>
    <w:basedOn w:val="DefaultParagraphFont"/>
    <w:uiPriority w:val="99"/>
    <w:unhideWhenUsed/>
    <w:rsid w:val="00C13429"/>
    <w:rPr>
      <w:color w:val="0563C1" w:themeColor="hyperlink"/>
      <w:u w:val="single"/>
    </w:rPr>
  </w:style>
  <w:style w:type="character" w:styleId="UnresolvedMention">
    <w:name w:val="Unresolved Mention"/>
    <w:basedOn w:val="DefaultParagraphFont"/>
    <w:uiPriority w:val="99"/>
    <w:semiHidden/>
    <w:unhideWhenUsed/>
    <w:rsid w:val="00C13429"/>
    <w:rPr>
      <w:color w:val="605E5C"/>
      <w:shd w:val="clear" w:color="auto" w:fill="E1DFDD"/>
    </w:rPr>
  </w:style>
  <w:style w:type="character" w:styleId="FollowedHyperlink">
    <w:name w:val="FollowedHyperlink"/>
    <w:basedOn w:val="DefaultParagraphFont"/>
    <w:uiPriority w:val="99"/>
    <w:semiHidden/>
    <w:unhideWhenUsed/>
    <w:rsid w:val="000B60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Yuuki Asuna</dc:creator>
  <cp:keywords/>
  <cp:lastModifiedBy>Microsoft Office User</cp:lastModifiedBy>
  <cp:revision>5</cp:revision>
  <dcterms:created xsi:type="dcterms:W3CDTF">2024-10-04T02:28:00Z</dcterms:created>
  <dcterms:modified xsi:type="dcterms:W3CDTF">2024-10-30T11:44:00Z</dcterms:modified>
</cp:coreProperties>
</file>